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中的请求单位"/>
      <w:bookmarkEnd w:id="21"/>
      <w:r>
        <w:t xml:space="preserve">DocumentDB 中的请求单位</w:t>
      </w:r>
    </w:p>
    <w:p>
      <w:pPr>
        <w:pStyle w:val="FirstParagraph"/>
      </w:pPr>
      <w:r>
        <w:t xml:space="preserve">本文概述了</w:t>
      </w:r>
      <w:r>
        <w:t xml:space="preserve"> </w:t>
      </w:r>
      <w:hyperlink r:id="rId22">
        <w:r>
          <w:rPr>
            <w:rStyle w:val="Hyperlink"/>
          </w:rPr>
          <w:t xml:space="preserve">Microsoft Azure DocumentDB</w:t>
        </w:r>
      </w:hyperlink>
      <w:r>
        <w:t xml:space="preserve"> </w:t>
      </w:r>
      <w:r>
        <w:t xml:space="preserve">中的请求单位。</w:t>
      </w:r>
    </w:p>
    <w:p>
      <w:pPr>
        <w:pStyle w:val="BodyText"/>
      </w:pPr>
      <w:r>
        <w:t xml:space="preserve">阅读本文之后，你将能够回答以下问题：</w:t>
      </w:r>
    </w:p>
    <w:p>
      <w:pPr>
        <w:pStyle w:val="Compact"/>
        <w:numPr>
          <w:numId w:val="1001"/>
          <w:ilvl w:val="0"/>
        </w:numPr>
      </w:pPr>
      <w:r>
        <w:t xml:space="preserve">什么是请求单位和请求费用？</w:t>
      </w:r>
    </w:p>
    <w:p>
      <w:pPr>
        <w:pStyle w:val="Compact"/>
        <w:numPr>
          <w:numId w:val="1001"/>
          <w:ilvl w:val="0"/>
        </w:numPr>
      </w:pPr>
      <w:r>
        <w:t xml:space="preserve">如何指定集合的请求单位容量？</w:t>
      </w:r>
    </w:p>
    <w:p>
      <w:pPr>
        <w:pStyle w:val="Compact"/>
        <w:numPr>
          <w:numId w:val="1001"/>
          <w:ilvl w:val="0"/>
        </w:numPr>
      </w:pPr>
      <w:r>
        <w:t xml:space="preserve">如何评估应用程序的请求单位需求？</w:t>
      </w:r>
    </w:p>
    <w:p>
      <w:pPr>
        <w:pStyle w:val="Compact"/>
        <w:numPr>
          <w:numId w:val="1001"/>
          <w:ilvl w:val="0"/>
        </w:numPr>
      </w:pPr>
      <w:r>
        <w:t xml:space="preserve">如果超过集合的请求单位容量会发生什么情况？</w:t>
      </w:r>
    </w:p>
    <w:p>
      <w:pPr>
        <w:pStyle w:val="Heading2"/>
      </w:pPr>
      <w:bookmarkStart w:id="23" w:name="请求单位和请求费用"/>
      <w:bookmarkEnd w:id="23"/>
      <w:r>
        <w:t xml:space="preserve">请求单位和请求费用</w:t>
      </w:r>
    </w:p>
    <w:p>
      <w:pPr>
        <w:pStyle w:val="FirstParagraph"/>
      </w:pPr>
      <w:r>
        <w:t xml:space="preserve">DocumentDB 通过保留资源提供了快速且可预测的性能，以满足应用程序的吞吐量需求。由于应用程序加载和访问模式会随着时间推移而更改，DocumentDB 使你可以轻松增加或减少保留供你的应用程序使用的吞吐量。</w:t>
      </w:r>
    </w:p>
    <w:p>
      <w:pPr>
        <w:pStyle w:val="BodyText"/>
      </w:pPr>
      <w:r>
        <w:t xml:space="preserve">通过 DocumentDB，可根据每秒处理的请求单位指定保留的吞吐量。你可以将请求单位视为吞吐量货币，因此，可以保留每秒可用于你的应用程序的定量有保障请求单位。DocumentDB 中的每个操作（编写文档、执行查询、更新文档）都会消耗 CPU、内存和 IOPS。也就是说，每个操作都会产生请求费用（用请求单位表示）。你要了解影响请求单位费用的因素，以及你的应用程序吞吐量要求，才能尽可能有效地运行你的应用程序。</w:t>
      </w:r>
    </w:p>
    <w:p>
      <w:pPr>
        <w:pStyle w:val="Heading2"/>
      </w:pPr>
      <w:bookmarkStart w:id="24" w:name="指定请求单位容量"/>
      <w:bookmarkEnd w:id="24"/>
      <w:r>
        <w:t xml:space="preserve">指定请求单位容量</w:t>
      </w:r>
    </w:p>
    <w:p>
      <w:pPr>
        <w:pStyle w:val="FirstParagraph"/>
      </w:pPr>
      <w:r>
        <w:t xml:space="preserve">创建 DocumentDB 集合时，可以指定希望为集合保留的每秒请求单位的数量 (RU)。创建集合之后，将保留指定的 RU 的完整分配供集合使用。保证每个集合具有专用的和隔离的吞吐量特征。</w:t>
      </w:r>
    </w:p>
    <w:p>
      <w:pPr>
        <w:pStyle w:val="BodyText"/>
      </w:pPr>
      <w:r>
        <w:t xml:space="preserve">值得注意的是，DocumentDB 在保留模型上操作，也就是说，按照你所保留的吞吐量向你计费，无论你主动使用了多少该吞吐量均是如此。但是请记住，随着应用程序的负载、数据和使用情况模式的更改，可以通过 DocumentDB SDK 或使用</w:t>
      </w:r>
      <w:r>
        <w:t xml:space="preserve"> </w:t>
      </w:r>
      <w:hyperlink r:id="rId25">
        <w:r>
          <w:rPr>
            <w:rStyle w:val="Hyperlink"/>
          </w:rPr>
          <w:t xml:space="preserve">Azure 门户</w:t>
        </w:r>
      </w:hyperlink>
      <w:r>
        <w:t xml:space="preserve">轻松增加或减少保留的 RU。有关扩大或缩小吞吐量的详细信息，请参阅</w:t>
      </w:r>
      <w:r>
        <w:t xml:space="preserve"> </w:t>
      </w:r>
      <w:hyperlink r:id="rId26">
        <w:r>
          <w:rPr>
            <w:rStyle w:val="Hyperlink"/>
          </w:rPr>
          <w:t xml:space="preserve">DocumentDB performance levels（DocumentDB 性能级别）</w:t>
        </w:r>
      </w:hyperlink>
      <w:r>
        <w:t xml:space="preserve">。</w:t>
      </w:r>
    </w:p>
    <w:p>
      <w:pPr>
        <w:pStyle w:val="Heading2"/>
      </w:pPr>
      <w:bookmarkStart w:id="27" w:name="请求单位注意事项"/>
      <w:bookmarkEnd w:id="27"/>
      <w:r>
        <w:t xml:space="preserve">请求单位注意事项</w:t>
      </w:r>
    </w:p>
    <w:p>
      <w:pPr>
        <w:pStyle w:val="FirstParagraph"/>
      </w:pPr>
      <w:r>
        <w:t xml:space="preserve">在估计为 DocumentDB 集合保留的请求单位数量时，务必要考虑以下变量：</w:t>
      </w:r>
    </w:p>
    <w:p>
      <w:pPr>
        <w:pStyle w:val="Compact"/>
        <w:numPr>
          <w:numId w:val="1002"/>
          <w:ilvl w:val="0"/>
        </w:numPr>
      </w:pPr>
      <w:r>
        <w:rPr>
          <w:b/>
        </w:rPr>
        <w:t xml:space="preserve">文档大小</w:t>
      </w:r>
      <w:r>
        <w:t xml:space="preserve">。随着文档大小的增加，用来读取或写入数据的单位数也随之增加。</w:t>
      </w:r>
    </w:p>
    <w:p>
      <w:pPr>
        <w:pStyle w:val="Compact"/>
        <w:numPr>
          <w:numId w:val="1002"/>
          <w:ilvl w:val="0"/>
        </w:numPr>
      </w:pPr>
      <w:r>
        <w:rPr>
          <w:b/>
        </w:rPr>
        <w:t xml:space="preserve">文档属性计数</w:t>
      </w:r>
      <w:r>
        <w:t xml:space="preserve">。假设默认为所有属性创建索引，用于写入文档的单位数将随着属性计数的增加而增加。</w:t>
      </w:r>
    </w:p>
    <w:p>
      <w:pPr>
        <w:pStyle w:val="Compact"/>
        <w:numPr>
          <w:numId w:val="1002"/>
          <w:ilvl w:val="0"/>
        </w:numPr>
      </w:pPr>
      <w:r>
        <w:rPr>
          <w:b/>
        </w:rPr>
        <w:t xml:space="preserve">数据一致性</w:t>
      </w:r>
      <w:r>
        <w:t xml:space="preserve">。当使用</w:t>
      </w:r>
      <w:r>
        <w:t xml:space="preserve">“</w:t>
      </w:r>
      <w:r>
        <w:t xml:space="preserve">强</w:t>
      </w:r>
      <w:r>
        <w:t xml:space="preserve">”</w:t>
      </w:r>
      <w:r>
        <w:t xml:space="preserve">或</w:t>
      </w:r>
      <w:r>
        <w:t xml:space="preserve">“</w:t>
      </w:r>
      <w:r>
        <w:t xml:space="preserve">有限过时</w:t>
      </w:r>
      <w:r>
        <w:t xml:space="preserve">”</w:t>
      </w:r>
      <w:r>
        <w:t xml:space="preserve">的数据一致性级别时，将占用更多单位数来读取文档。</w:t>
      </w:r>
    </w:p>
    <w:p>
      <w:pPr>
        <w:pStyle w:val="Compact"/>
        <w:numPr>
          <w:numId w:val="1002"/>
          <w:ilvl w:val="0"/>
        </w:numPr>
      </w:pPr>
      <w:r>
        <w:rPr>
          <w:b/>
        </w:rPr>
        <w:t xml:space="preserve">已编制索引的属性</w:t>
      </w:r>
      <w:r>
        <w:t xml:space="preserve">。每个集合的索引策略都可确定默认情况下要进行索引的属性类别。通过限制已创建索引的属性数目或通过启用延迟索引编制，可以减少请求单位消耗。</w:t>
      </w:r>
    </w:p>
    <w:p>
      <w:pPr>
        <w:pStyle w:val="Compact"/>
        <w:numPr>
          <w:numId w:val="1002"/>
          <w:ilvl w:val="0"/>
        </w:numPr>
      </w:pPr>
      <w:r>
        <w:rPr>
          <w:b/>
        </w:rPr>
        <w:t xml:space="preserve">文档索引编制</w:t>
      </w:r>
      <w:r>
        <w:t xml:space="preserve">。默认情况下，将自动为每个文档创建索引，如果你选择不为其中一些文档创建索引，则将占用更少的请求单位。</w:t>
      </w:r>
    </w:p>
    <w:p>
      <w:pPr>
        <w:pStyle w:val="Compact"/>
        <w:numPr>
          <w:numId w:val="1002"/>
          <w:ilvl w:val="0"/>
        </w:numPr>
      </w:pPr>
      <w:r>
        <w:rPr>
          <w:b/>
        </w:rPr>
        <w:t xml:space="preserve">查询模式</w:t>
      </w:r>
      <w:r>
        <w:t xml:space="preserve">。查询的复杂性会影响操作使用的请求单位数量。谓词数、谓词性质、投影、UDF 数和源数据集的大小都会影响查询操作的成本。</w:t>
      </w:r>
    </w:p>
    <w:p>
      <w:pPr>
        <w:pStyle w:val="Compact"/>
        <w:numPr>
          <w:numId w:val="1002"/>
          <w:ilvl w:val="0"/>
        </w:numPr>
      </w:pPr>
      <w:r>
        <w:rPr>
          <w:b/>
        </w:rPr>
        <w:t xml:space="preserve">脚本使用情况</w:t>
      </w:r>
      <w:r>
        <w:t xml:space="preserve">。正如查询一样，存储过程和触发器也是根据所执行的操作的复杂性来使用请求单位的。在开发应用程序时，检查请求费用标头，以更好地了解每个操作消耗请求单位容量的方式。</w:t>
      </w:r>
    </w:p>
    <w:p>
      <w:pPr>
        <w:pStyle w:val="Heading2"/>
      </w:pPr>
      <w:bookmarkStart w:id="28" w:name="估计吞吐量需求"/>
      <w:bookmarkEnd w:id="28"/>
      <w:r>
        <w:t xml:space="preserve">估计吞吐量需求</w:t>
      </w:r>
    </w:p>
    <w:p>
      <w:pPr>
        <w:pStyle w:val="FirstParagraph"/>
      </w:pPr>
      <w:r>
        <w:t xml:space="preserve">请求单位是请求处理成本的规范化的度量。单个请求单位用于表示读取（通过自链接或 ID）一个包含 10 个唯一属性值（系统属性除外）的 1 KB JSON 文档所需的处理容量。插入、替换或删除同一文档的请求要占用服务的更多处理，因此需要更多请求单位。</w:t>
      </w:r>
    </w:p>
    <w:p>
      <w:pPr>
        <w:pStyle w:val="BlockText"/>
      </w:pPr>
      <w:r>
        <w:t xml:space="preserve">[AZURE.NOTE] 用于 1 KB 文档的 1 个请求单位基线通过自链接或文档的ID 与简单的 GET 对应。</w:t>
      </w:r>
    </w:p>
    <w:p>
      <w:pPr>
        <w:pStyle w:val="FirstParagraph"/>
      </w:pPr>
      <w:r>
        <w:t xml:space="preserve">每个来自 DocumentDB 服务的响应都包含一个包含用于请求的请求单位的自定义标头 (x-ms-request-charge)。此标头也可通过 DocumentDB SDK 访问。在 .NET SDK 中，RequestCharge 是 ResourceResponse 对象的属性。对于查询，在 Azure 门户中的 DocumentDB 查询资源管理器提供了用于执行的查询的请求费用信息。</w:t>
      </w:r>
    </w:p>
    <w:p>
      <w:pPr>
        <w:pStyle w:val="FigureWithCaption"/>
      </w:pPr>
      <w:r>
        <w:drawing>
          <wp:inline>
            <wp:extent cx="5334000" cy="3197945"/>
            <wp:effectExtent b="0" l="0" r="0" t="0"/>
            <wp:docPr descr="" id="1" name="Picture"/>
            <a:graphic>
              <a:graphicData uri="http://schemas.openxmlformats.org/drawingml/2006/picture">
                <pic:pic>
                  <pic:nvPicPr>
                    <pic:cNvPr descr="./media/documentdb-request-units/queryexplorer.png" id="0" name="Picture"/>
                    <pic:cNvPicPr>
                      <a:picLocks noChangeArrowheads="1" noChangeAspect="1"/>
                    </pic:cNvPicPr>
                  </pic:nvPicPr>
                  <pic:blipFill>
                    <a:blip r:embed="rId29"/>
                    <a:stretch>
                      <a:fillRect/>
                    </a:stretch>
                  </pic:blipFill>
                  <pic:spPr bwMode="auto">
                    <a:xfrm>
                      <a:off x="0" y="0"/>
                      <a:ext cx="5334000" cy="3197945"/>
                    </a:xfrm>
                    <a:prstGeom prst="rect">
                      <a:avLst/>
                    </a:prstGeom>
                    <a:noFill/>
                    <a:ln w="9525">
                      <a:noFill/>
                      <a:headEnd/>
                      <a:tailEnd/>
                    </a:ln>
                  </pic:spPr>
                </pic:pic>
              </a:graphicData>
            </a:graphic>
          </wp:inline>
        </w:drawing>
      </w:r>
    </w:p>
    <w:p>
      <w:pPr>
        <w:pStyle w:val="ImageCaption"/>
      </w:pPr>
      <w:r>
        <w:t xml:space="preserve">检查查询资源管理器中的 RU 费用</w:t>
      </w:r>
    </w:p>
    <w:p>
      <w:pPr>
        <w:pStyle w:val="BodyText"/>
      </w:pPr>
      <w:r>
        <w:t xml:space="preserve">基于这一点，有一种方法可以估计应用程序所需的保留的吞吐量：记录与针对应用程序所使用的代表性文档运行典型操作相关联的请求单位费用，然后估计你预计每秒执行的操作数。也要确保测算并包含典型查询和 DocumentDB 脚本使用情况。</w:t>
      </w:r>
    </w:p>
    <w:p>
      <w:pPr>
        <w:pStyle w:val="BlockText"/>
      </w:pPr>
      <w:r>
        <w:t xml:space="preserve">[AZURE.NOTE]如果某些文档类型在大小和已编制索引的属性方面有很大不同，那么就要记录与每个典型文档类型相关联的适用操作的请求单位费用。</w:t>
      </w:r>
    </w:p>
    <w:p>
      <w:pPr>
        <w:pStyle w:val="FirstParagraph"/>
      </w:pPr>
      <w:r>
        <w:t xml:space="preserve">例如：</w:t>
      </w:r>
    </w:p>
    <w:p>
      <w:pPr>
        <w:pStyle w:val="Compact"/>
        <w:numPr>
          <w:numId w:val="1003"/>
          <w:ilvl w:val="0"/>
        </w:numPr>
      </w:pPr>
      <w:r>
        <w:t xml:space="preserve">记录创建（插入）典型文档的请求单位费用。</w:t>
      </w:r>
    </w:p>
    <w:p>
      <w:pPr>
        <w:pStyle w:val="Compact"/>
        <w:numPr>
          <w:numId w:val="1003"/>
          <w:ilvl w:val="0"/>
        </w:numPr>
      </w:pPr>
      <w:r>
        <w:t xml:space="preserve">记录读取典型文档的请求单位费用。</w:t>
      </w:r>
    </w:p>
    <w:p>
      <w:pPr>
        <w:pStyle w:val="Compact"/>
        <w:numPr>
          <w:numId w:val="1003"/>
          <w:ilvl w:val="0"/>
        </w:numPr>
      </w:pPr>
      <w:r>
        <w:t xml:space="preserve">记录更新典型文档的请求单位费用。</w:t>
      </w:r>
    </w:p>
    <w:p>
      <w:pPr>
        <w:pStyle w:val="Compact"/>
        <w:numPr>
          <w:numId w:val="1003"/>
          <w:ilvl w:val="0"/>
        </w:numPr>
      </w:pPr>
      <w:r>
        <w:t xml:space="preserve">记录典型、常见文档查询的请求单位费用。</w:t>
      </w:r>
    </w:p>
    <w:p>
      <w:pPr>
        <w:pStyle w:val="Compact"/>
        <w:numPr>
          <w:numId w:val="1003"/>
          <w:ilvl w:val="0"/>
        </w:numPr>
      </w:pPr>
      <w:r>
        <w:t xml:space="preserve">记录应用程序使用的任何自定义脚本（存储的过程、触发器、用户自定义函数）的请求单位费用。</w:t>
      </w:r>
    </w:p>
    <w:p>
      <w:pPr>
        <w:pStyle w:val="Compact"/>
        <w:numPr>
          <w:numId w:val="1003"/>
          <w:ilvl w:val="0"/>
        </w:numPr>
      </w:pPr>
      <w:r>
        <w:t xml:space="preserve">根据给定的预计每秒运行的操作估计数计算所需的请求单位。</w:t>
      </w:r>
    </w:p>
    <w:p>
      <w:pPr>
        <w:pStyle w:val="Heading2"/>
      </w:pPr>
      <w:bookmarkStart w:id="30" w:name="请求单位估计示例"/>
      <w:bookmarkEnd w:id="30"/>
      <w:r>
        <w:t xml:space="preserve">请求单位估计示例</w:t>
      </w:r>
    </w:p>
    <w:p>
      <w:pPr>
        <w:pStyle w:val="FirstParagraph"/>
      </w:pPr>
      <w:r>
        <w:t xml:space="preserve">请考虑以下 ~1 KB 文档：</w:t>
      </w:r>
    </w:p>
    <w:p>
      <w:pPr>
        <w:pStyle w:val="SourceCode"/>
      </w:pPr>
      <w:r>
        <w:rPr>
          <w:rStyle w:val="VerbatimChar"/>
        </w:rPr>
        <w:t xml:space="preserve">{</w:t>
      </w:r>
      <w:r>
        <w:br w:type="textWrapping"/>
      </w:r>
      <w:r>
        <w:rPr>
          <w:rStyle w:val="VerbatimChar"/>
        </w:rPr>
        <w:t xml:space="preserve"> "id": "08259",</w:t>
      </w:r>
      <w:r>
        <w:br w:type="textWrapping"/>
      </w:r>
      <w:r>
        <w:rPr>
          <w:rStyle w:val="VerbatimChar"/>
        </w:rPr>
        <w:t xml:space="preserve">"description": "Cereals ready-to-eat, KELLOGG, KELLOGG'S CRISPIX",</w:t>
      </w:r>
      <w:r>
        <w:br w:type="textWrapping"/>
      </w:r>
      <w:r>
        <w:rPr>
          <w:rStyle w:val="VerbatimChar"/>
        </w:rPr>
        <w:t xml:space="preserve">"tags": [</w:t>
      </w:r>
      <w:r>
        <w:br w:type="textWrapping"/>
      </w:r>
      <w:r>
        <w:rPr>
          <w:rStyle w:val="VerbatimChar"/>
        </w:rPr>
        <w:t xml:space="preserve">    {</w:t>
      </w:r>
      <w:r>
        <w:br w:type="textWrapping"/>
      </w:r>
      <w:r>
        <w:rPr>
          <w:rStyle w:val="VerbatimChar"/>
        </w:rPr>
        <w:t xml:space="preserve">    "name": "cereals ready-to-eat"</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"kellogg"</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"kellogg's crispix"</w:t>
      </w:r>
      <w:r>
        <w:br w:type="textWrapping"/>
      </w:r>
      <w:r>
        <w:rPr>
          <w:rStyle w:val="VerbatimChar"/>
        </w:rPr>
        <w:t xml:space="preserve">    }</w:t>
      </w:r>
      <w:r>
        <w:br w:type="textWrapping"/>
      </w:r>
      <w:r>
        <w:rPr>
          <w:rStyle w:val="VerbatimChar"/>
        </w:rPr>
        <w:t xml:space="preserve">],</w:t>
      </w:r>
      <w:r>
        <w:br w:type="textWrapping"/>
      </w:r>
      <w:r>
        <w:rPr>
          <w:rStyle w:val="VerbatimChar"/>
        </w:rPr>
        <w:t xml:space="preserve">"version": 1,</w:t>
      </w:r>
      <w:r>
        <w:br w:type="textWrapping"/>
      </w:r>
      <w:r>
        <w:rPr>
          <w:rStyle w:val="VerbatimChar"/>
        </w:rPr>
        <w:t xml:space="preserve">"commonName": "Includes USDA Commodity B855",</w:t>
      </w:r>
      <w:r>
        <w:br w:type="textWrapping"/>
      </w:r>
      <w:r>
        <w:rPr>
          <w:rStyle w:val="VerbatimChar"/>
        </w:rPr>
        <w:t xml:space="preserve">"manufacturerName": "Kellogg, Co.",</w:t>
      </w:r>
      <w:r>
        <w:br w:type="textWrapping"/>
      </w:r>
      <w:r>
        <w:rPr>
          <w:rStyle w:val="VerbatimChar"/>
        </w:rPr>
        <w:t xml:space="preserve">"isFromSurvey": false,</w:t>
      </w:r>
      <w:r>
        <w:br w:type="textWrapping"/>
      </w:r>
      <w:r>
        <w:rPr>
          <w:rStyle w:val="VerbatimChar"/>
        </w:rPr>
        <w:t xml:space="preserve">"foodGroup": "Breakfast Cereals",</w:t>
      </w:r>
      <w:r>
        <w:br w:type="textWrapping"/>
      </w:r>
      <w:r>
        <w:rPr>
          <w:rStyle w:val="VerbatimChar"/>
        </w:rPr>
        <w:t xml:space="preserve">"nutrients": [</w:t>
      </w:r>
      <w:r>
        <w:br w:type="textWrapping"/>
      </w:r>
      <w:r>
        <w:rPr>
          <w:rStyle w:val="VerbatimChar"/>
        </w:rPr>
        <w:t xml:space="preserve">    {</w:t>
      </w:r>
      <w:r>
        <w:br w:type="textWrapping"/>
      </w:r>
      <w:r>
        <w:rPr>
          <w:rStyle w:val="VerbatimChar"/>
        </w:rPr>
        <w:t xml:space="preserve">    "id": "262",</w:t>
      </w:r>
      <w:r>
        <w:br w:type="textWrapping"/>
      </w:r>
      <w:r>
        <w:rPr>
          <w:rStyle w:val="VerbatimChar"/>
        </w:rPr>
        <w:t xml:space="preserve">    "description": "Caffeine",</w:t>
      </w:r>
      <w:r>
        <w:br w:type="textWrapping"/>
      </w:r>
      <w:r>
        <w:rPr>
          <w:rStyle w:val="VerbatimChar"/>
        </w:rPr>
        <w:t xml:space="preserve">    "nutritionValue": 0,</w:t>
      </w:r>
      <w:r>
        <w:br w:type="textWrapping"/>
      </w:r>
      <w:r>
        <w:rPr>
          <w:rStyle w:val="VerbatimChar"/>
        </w:rPr>
        <w:t xml:space="preserve">    "units": "mg"</w:t>
      </w:r>
      <w:r>
        <w:br w:type="textWrapping"/>
      </w:r>
      <w:r>
        <w:rPr>
          <w:rStyle w:val="VerbatimChar"/>
        </w:rPr>
        <w:t xml:space="preserve">    },</w:t>
      </w:r>
      <w:r>
        <w:br w:type="textWrapping"/>
      </w:r>
      <w:r>
        <w:rPr>
          <w:rStyle w:val="VerbatimChar"/>
        </w:rPr>
        <w:t xml:space="preserve">    {</w:t>
      </w:r>
      <w:r>
        <w:br w:type="textWrapping"/>
      </w:r>
      <w:r>
        <w:rPr>
          <w:rStyle w:val="VerbatimChar"/>
        </w:rPr>
        <w:t xml:space="preserve">    "id": "307",</w:t>
      </w:r>
      <w:r>
        <w:br w:type="textWrapping"/>
      </w:r>
      <w:r>
        <w:rPr>
          <w:rStyle w:val="VerbatimChar"/>
        </w:rPr>
        <w:t xml:space="preserve">    "description": "Sodium, Na",</w:t>
      </w:r>
      <w:r>
        <w:br w:type="textWrapping"/>
      </w:r>
      <w:r>
        <w:rPr>
          <w:rStyle w:val="VerbatimChar"/>
        </w:rPr>
        <w:t xml:space="preserve">    "nutritionValue": 611,</w:t>
      </w:r>
      <w:r>
        <w:br w:type="textWrapping"/>
      </w:r>
      <w:r>
        <w:rPr>
          <w:rStyle w:val="VerbatimChar"/>
        </w:rPr>
        <w:t xml:space="preserve">    "units": "mg"</w:t>
      </w:r>
      <w:r>
        <w:br w:type="textWrapping"/>
      </w:r>
      <w:r>
        <w:rPr>
          <w:rStyle w:val="VerbatimChar"/>
        </w:rPr>
        <w:t xml:space="preserve">    },</w:t>
      </w:r>
      <w:r>
        <w:br w:type="textWrapping"/>
      </w:r>
      <w:r>
        <w:rPr>
          <w:rStyle w:val="VerbatimChar"/>
        </w:rPr>
        <w:t xml:space="preserve">    {</w:t>
      </w:r>
      <w:r>
        <w:br w:type="textWrapping"/>
      </w:r>
      <w:r>
        <w:rPr>
          <w:rStyle w:val="VerbatimChar"/>
        </w:rPr>
        <w:t xml:space="preserve">    "id": "309",</w:t>
      </w:r>
      <w:r>
        <w:br w:type="textWrapping"/>
      </w:r>
      <w:r>
        <w:rPr>
          <w:rStyle w:val="VerbatimChar"/>
        </w:rPr>
        <w:t xml:space="preserve">    "description": "Zinc, Zn",</w:t>
      </w:r>
      <w:r>
        <w:br w:type="textWrapping"/>
      </w:r>
      <w:r>
        <w:rPr>
          <w:rStyle w:val="VerbatimChar"/>
        </w:rPr>
        <w:t xml:space="preserve">    "nutritionValue": 5.2,</w:t>
      </w:r>
      <w:r>
        <w:br w:type="textWrapping"/>
      </w:r>
      <w:r>
        <w:rPr>
          <w:rStyle w:val="VerbatimChar"/>
        </w:rPr>
        <w:t xml:space="preserve">    "units": "mg"</w:t>
      </w:r>
      <w:r>
        <w:br w:type="textWrapping"/>
      </w:r>
      <w:r>
        <w:rPr>
          <w:rStyle w:val="VerbatimChar"/>
        </w:rPr>
        <w:t xml:space="preserve">    }</w:t>
      </w:r>
      <w:r>
        <w:br w:type="textWrapping"/>
      </w:r>
      <w:r>
        <w:rPr>
          <w:rStyle w:val="VerbatimChar"/>
        </w:rPr>
        <w:t xml:space="preserve">],</w:t>
      </w:r>
      <w:r>
        <w:br w:type="textWrapping"/>
      </w:r>
      <w:r>
        <w:rPr>
          <w:rStyle w:val="VerbatimChar"/>
        </w:rPr>
        <w:t xml:space="preserve">"servings": [</w:t>
      </w:r>
      <w:r>
        <w:br w:type="textWrapping"/>
      </w:r>
      <w:r>
        <w:rPr>
          <w:rStyle w:val="VerbatimChar"/>
        </w:rPr>
        <w:t xml:space="preserve">    {</w:t>
      </w:r>
      <w:r>
        <w:br w:type="textWrapping"/>
      </w:r>
      <w:r>
        <w:rPr>
          <w:rStyle w:val="VerbatimChar"/>
        </w:rPr>
        <w:t xml:space="preserve">    "amount": 1,</w:t>
      </w:r>
      <w:r>
        <w:br w:type="textWrapping"/>
      </w:r>
      <w:r>
        <w:rPr>
          <w:rStyle w:val="VerbatimChar"/>
        </w:rPr>
        <w:t xml:space="preserve">    "description": "cup (1 NLEA serving)",</w:t>
      </w:r>
      <w:r>
        <w:br w:type="textWrapping"/>
      </w:r>
      <w:r>
        <w:rPr>
          <w:rStyle w:val="VerbatimChar"/>
        </w:rPr>
        <w:t xml:space="preserve">    "weightInGrams": 29</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BlockText"/>
      </w:pPr>
      <w:r>
        <w:t xml:space="preserve">[AZURE.NOTE]文档在 DocumentDB 中已缩小，所以系统计算的上述文档的大小略小于 1 KB。</w:t>
      </w:r>
    </w:p>
    <w:p>
      <w:pPr>
        <w:pStyle w:val="FirstParagraph"/>
      </w:pPr>
      <w:r>
        <w:t xml:space="preserve">下表显示了此文档的典型操作的请求单位大概费用（假定帐户一致性级别设置为</w:t>
      </w:r>
      <w:r>
        <w:t xml:space="preserve">“</w:t>
      </w:r>
      <w:r>
        <w:t xml:space="preserve">会话</w:t>
      </w:r>
      <w:r>
        <w:t xml:space="preserve">”</w:t>
      </w:r>
      <w:r>
        <w:t xml:space="preserve">且所有文档都自动编制索引）：</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操作</w:t>
            </w:r>
          </w:p>
        </w:tc>
        <w:tc>
          <w:tcPr>
            <w:tcBorders>
              <w:bottom w:val="single"/>
            </w:tcBorders>
            <w:vAlign w:val="bottom"/>
          </w:tcPr>
          <w:p>
            <w:pPr>
              <w:pStyle w:val="Compact"/>
              <w:jc w:val="left"/>
            </w:pPr>
            <w:r>
              <w:t xml:space="preserve">请求单位费用</w:t>
            </w:r>
          </w:p>
        </w:tc>
      </w:tr>
      <w:tr>
        <w:tc>
          <w:p>
            <w:pPr>
              <w:pStyle w:val="Compact"/>
              <w:jc w:val="left"/>
            </w:pPr>
            <w:r>
              <w:t xml:space="preserve">创建文档</w:t>
            </w:r>
          </w:p>
        </w:tc>
        <w:tc>
          <w:p>
            <w:pPr>
              <w:pStyle w:val="Compact"/>
              <w:jc w:val="left"/>
            </w:pPr>
            <w:r>
              <w:t xml:space="preserve">~15 RU</w:t>
            </w:r>
          </w:p>
        </w:tc>
      </w:tr>
      <w:tr>
        <w:tc>
          <w:p>
            <w:pPr>
              <w:pStyle w:val="Compact"/>
              <w:jc w:val="left"/>
            </w:pPr>
            <w:r>
              <w:t xml:space="preserve">读取文档</w:t>
            </w:r>
          </w:p>
        </w:tc>
        <w:tc>
          <w:p>
            <w:pPr>
              <w:pStyle w:val="Compact"/>
              <w:jc w:val="left"/>
            </w:pPr>
            <w:r>
              <w:t xml:space="preserve">~1 RU</w:t>
            </w:r>
          </w:p>
        </w:tc>
      </w:tr>
      <w:tr>
        <w:tc>
          <w:p>
            <w:pPr>
              <w:pStyle w:val="Compact"/>
              <w:jc w:val="left"/>
            </w:pPr>
            <w:r>
              <w:t xml:space="preserve">按 ID 查询文档</w:t>
            </w:r>
          </w:p>
        </w:tc>
        <w:tc>
          <w:p>
            <w:pPr>
              <w:pStyle w:val="Compact"/>
              <w:jc w:val="left"/>
            </w:pPr>
            <w:r>
              <w:t xml:space="preserve">~2.5 RU</w:t>
            </w:r>
          </w:p>
        </w:tc>
      </w:tr>
    </w:tbl>
    <w:p>
      <w:pPr>
        <w:pStyle w:val="BodyText"/>
      </w:pPr>
      <w:r>
        <w:t xml:space="preserve">此外，此表还显示了应用程序所用的请求单位大概费用：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查询</w:t>
            </w:r>
          </w:p>
        </w:tc>
        <w:tc>
          <w:tcPr>
            <w:tcBorders>
              <w:bottom w:val="single"/>
            </w:tcBorders>
            <w:vAlign w:val="bottom"/>
          </w:tcPr>
          <w:p>
            <w:pPr>
              <w:pStyle w:val="Compact"/>
              <w:jc w:val="left"/>
            </w:pPr>
            <w:r>
              <w:t xml:space="preserve">请求单位费用</w:t>
            </w:r>
          </w:p>
        </w:tc>
        <w:tc>
          <w:tcPr>
            <w:tcBorders>
              <w:bottom w:val="single"/>
            </w:tcBorders>
            <w:vAlign w:val="bottom"/>
          </w:tcPr>
          <w:p>
            <w:pPr>
              <w:pStyle w:val="Compact"/>
              <w:jc w:val="left"/>
            </w:pPr>
            <w:r>
              <w:t xml:space="preserve">返回的文档数量</w:t>
            </w:r>
          </w:p>
        </w:tc>
      </w:tr>
      <w:tr>
        <w:tc>
          <w:p>
            <w:pPr>
              <w:pStyle w:val="Compact"/>
              <w:jc w:val="left"/>
            </w:pPr>
            <w:r>
              <w:t xml:space="preserve">按 ID 选择食品</w:t>
            </w:r>
          </w:p>
        </w:tc>
        <w:tc>
          <w:p>
            <w:pPr>
              <w:pStyle w:val="Compact"/>
              <w:jc w:val="left"/>
            </w:pPr>
            <w:r>
              <w:t xml:space="preserve">~2.5 RU</w:t>
            </w:r>
          </w:p>
        </w:tc>
        <w:tc>
          <w:p>
            <w:pPr>
              <w:pStyle w:val="Compact"/>
              <w:jc w:val="left"/>
            </w:pPr>
            <w:r>
              <w:t xml:space="preserve">1</w:t>
            </w:r>
          </w:p>
        </w:tc>
      </w:tr>
      <w:tr>
        <w:tc>
          <w:p>
            <w:pPr>
              <w:pStyle w:val="Compact"/>
              <w:jc w:val="left"/>
            </w:pPr>
            <w:r>
              <w:t xml:space="preserve">按制造商选择食物</w:t>
            </w:r>
          </w:p>
        </w:tc>
        <w:tc>
          <w:p>
            <w:pPr>
              <w:pStyle w:val="Compact"/>
              <w:jc w:val="left"/>
            </w:pPr>
            <w:r>
              <w:t xml:space="preserve">~7 RU</w:t>
            </w:r>
          </w:p>
        </w:tc>
        <w:tc>
          <w:p>
            <w:pPr>
              <w:pStyle w:val="Compact"/>
              <w:jc w:val="left"/>
            </w:pPr>
            <w:r>
              <w:t xml:space="preserve">7</w:t>
            </w:r>
          </w:p>
        </w:tc>
      </w:tr>
      <w:tr>
        <w:tc>
          <w:p>
            <w:pPr>
              <w:pStyle w:val="Compact"/>
              <w:jc w:val="left"/>
            </w:pPr>
            <w:r>
              <w:t xml:space="preserve">按食品组选择并按重量排序</w:t>
            </w:r>
          </w:p>
        </w:tc>
        <w:tc>
          <w:p>
            <w:pPr>
              <w:pStyle w:val="Compact"/>
              <w:jc w:val="left"/>
            </w:pPr>
            <w:r>
              <w:t xml:space="preserve">~70 RU</w:t>
            </w:r>
          </w:p>
        </w:tc>
        <w:tc>
          <w:p>
            <w:pPr>
              <w:pStyle w:val="Compact"/>
              <w:jc w:val="left"/>
            </w:pPr>
            <w:r>
              <w:t xml:space="preserve">100</w:t>
            </w:r>
          </w:p>
        </w:tc>
      </w:tr>
      <w:tr>
        <w:tc>
          <w:p>
            <w:pPr>
              <w:pStyle w:val="Compact"/>
              <w:jc w:val="left"/>
            </w:pPr>
            <w:r>
              <w:t xml:space="preserve">选择食品组中的前 10 个食品</w:t>
            </w:r>
          </w:p>
        </w:tc>
        <w:tc>
          <w:p>
            <w:pPr>
              <w:pStyle w:val="Compact"/>
              <w:jc w:val="left"/>
            </w:pPr>
            <w:r>
              <w:t xml:space="preserve">~10 RU</w:t>
            </w:r>
          </w:p>
        </w:tc>
        <w:tc>
          <w:p>
            <w:pPr>
              <w:pStyle w:val="Compact"/>
              <w:jc w:val="left"/>
            </w:pPr>
            <w:r>
              <w:t xml:space="preserve">10</w:t>
            </w:r>
          </w:p>
        </w:tc>
      </w:tr>
    </w:tbl>
    <w:p>
      <w:pPr>
        <w:pStyle w:val="BlockText"/>
      </w:pPr>
      <w:r>
        <w:t xml:space="preserve">[AZURE.NOTE]RU 费用取决于返回的文档数。</w:t>
      </w:r>
    </w:p>
    <w:p>
      <w:pPr>
        <w:pStyle w:val="FirstParagraph"/>
      </w:pPr>
      <w:r>
        <w:t xml:space="preserve">使用此信息，我们可以根据预计的每秒操作和查询数量来估计此应用程序的 RU 需求：</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操作/查询</w:t>
            </w:r>
          </w:p>
        </w:tc>
        <w:tc>
          <w:tcPr>
            <w:tcBorders>
              <w:bottom w:val="single"/>
            </w:tcBorders>
            <w:vAlign w:val="bottom"/>
          </w:tcPr>
          <w:p>
            <w:pPr>
              <w:pStyle w:val="Compact"/>
              <w:jc w:val="left"/>
            </w:pPr>
            <w:r>
              <w:t xml:space="preserve">每秒的估计数量</w:t>
            </w:r>
          </w:p>
        </w:tc>
        <w:tc>
          <w:tcPr>
            <w:tcBorders>
              <w:bottom w:val="single"/>
            </w:tcBorders>
            <w:vAlign w:val="bottom"/>
          </w:tcPr>
          <w:p>
            <w:pPr>
              <w:pStyle w:val="Compact"/>
              <w:jc w:val="left"/>
            </w:pPr>
            <w:r>
              <w:t xml:space="preserve">所需的 RU</w:t>
            </w:r>
          </w:p>
        </w:tc>
      </w:tr>
      <w:tr>
        <w:tc>
          <w:p>
            <w:pPr>
              <w:pStyle w:val="Compact"/>
              <w:jc w:val="left"/>
            </w:pPr>
            <w:r>
              <w:t xml:space="preserve">创建文档</w:t>
            </w:r>
          </w:p>
        </w:tc>
        <w:tc>
          <w:p>
            <w:pPr>
              <w:pStyle w:val="Compact"/>
              <w:jc w:val="left"/>
            </w:pPr>
            <w:r>
              <w:t xml:space="preserve">10</w:t>
            </w:r>
          </w:p>
        </w:tc>
        <w:tc>
          <w:p>
            <w:pPr>
              <w:pStyle w:val="Compact"/>
              <w:jc w:val="left"/>
            </w:pPr>
            <w:r>
              <w:t xml:space="preserve">150</w:t>
            </w:r>
          </w:p>
        </w:tc>
      </w:tr>
      <w:tr>
        <w:tc>
          <w:p>
            <w:pPr>
              <w:pStyle w:val="Compact"/>
              <w:jc w:val="left"/>
            </w:pPr>
            <w:r>
              <w:t xml:space="preserve">读取文档</w:t>
            </w:r>
          </w:p>
        </w:tc>
        <w:tc>
          <w:p>
            <w:pPr>
              <w:pStyle w:val="Compact"/>
              <w:jc w:val="left"/>
            </w:pPr>
            <w:r>
              <w:t xml:space="preserve">100</w:t>
            </w:r>
          </w:p>
        </w:tc>
        <w:tc>
          <w:p>
            <w:pPr>
              <w:pStyle w:val="Compact"/>
              <w:jc w:val="left"/>
            </w:pPr>
            <w:r>
              <w:t xml:space="preserve">100</w:t>
            </w:r>
          </w:p>
        </w:tc>
      </w:tr>
      <w:tr>
        <w:tc>
          <w:p>
            <w:pPr>
              <w:pStyle w:val="Compact"/>
              <w:jc w:val="left"/>
            </w:pPr>
            <w:r>
              <w:t xml:space="preserve">按制造商选择食物</w:t>
            </w:r>
          </w:p>
        </w:tc>
        <w:tc>
          <w:p>
            <w:pPr>
              <w:pStyle w:val="Compact"/>
              <w:jc w:val="left"/>
            </w:pPr>
            <w:r>
              <w:t xml:space="preserve">25</w:t>
            </w:r>
          </w:p>
        </w:tc>
        <w:tc>
          <w:p>
            <w:pPr>
              <w:pStyle w:val="Compact"/>
              <w:jc w:val="left"/>
            </w:pPr>
            <w:r>
              <w:t xml:space="preserve">175</w:t>
            </w:r>
          </w:p>
        </w:tc>
      </w:tr>
      <w:tr>
        <w:tc>
          <w:p>
            <w:pPr>
              <w:pStyle w:val="Compact"/>
              <w:jc w:val="left"/>
            </w:pPr>
            <w:r>
              <w:t xml:space="preserve">按食品组进行选择</w:t>
            </w:r>
          </w:p>
        </w:tc>
        <w:tc>
          <w:p>
            <w:pPr>
              <w:pStyle w:val="Compact"/>
              <w:jc w:val="left"/>
            </w:pPr>
            <w:r>
              <w:t xml:space="preserve">10</w:t>
            </w:r>
          </w:p>
        </w:tc>
        <w:tc>
          <w:p>
            <w:pPr>
              <w:pStyle w:val="Compact"/>
              <w:jc w:val="left"/>
            </w:pPr>
            <w:r>
              <w:t xml:space="preserve">700</w:t>
            </w:r>
          </w:p>
        </w:tc>
      </w:tr>
      <w:tr>
        <w:tc>
          <w:p>
            <w:pPr>
              <w:pStyle w:val="Compact"/>
              <w:jc w:val="left"/>
            </w:pPr>
            <w:r>
              <w:t xml:space="preserve">选择前 10 个</w:t>
            </w:r>
          </w:p>
        </w:tc>
        <w:tc>
          <w:p>
            <w:pPr>
              <w:pStyle w:val="Compact"/>
              <w:jc w:val="left"/>
            </w:pPr>
            <w:r>
              <w:t xml:space="preserve">15</w:t>
            </w:r>
          </w:p>
        </w:tc>
        <w:tc>
          <w:p>
            <w:pPr>
              <w:pStyle w:val="Compact"/>
              <w:jc w:val="left"/>
            </w:pPr>
            <w:r>
              <w:t xml:space="preserve">总计 150</w:t>
            </w:r>
          </w:p>
        </w:tc>
      </w:tr>
    </w:tbl>
    <w:p>
      <w:pPr>
        <w:pStyle w:val="BodyText"/>
      </w:pPr>
      <w:r>
        <w:t xml:space="preserve">在此示例中，我们认为平均吞吐量需求为 1,275 RU/s。舍入到最接近的百位数，我们会将此应用程序的集合设置为 1,300 RU/s。</w:t>
      </w:r>
    </w:p>
    <w:p>
      <w:pPr>
        <w:pStyle w:val="Heading2"/>
      </w:pPr>
      <w:bookmarkStart w:id="31" w:name="超过保留的吞吐量限制"/>
      <w:bookmarkEnd w:id="31"/>
      <w:r>
        <w:t xml:space="preserve">超过保留的吞吐量限制</w:t>
      </w:r>
    </w:p>
    <w:p>
      <w:pPr>
        <w:pStyle w:val="FirstParagraph"/>
      </w:pPr>
      <w:r>
        <w:t xml:space="preserve">前面提到，请求单位消耗以每秒速率进行评估。对于超过集合设置的请求单位速率的应用程序，将限制对该集合的请求数，直到速率降低到保留级别之下。受到限制时，服务器将会抢先结束 RequestRateTooLarge（HTTP 状态代码 429）的请求并返回 x-ms-retry-after-ms 标头，该标头指示重试请求前用户必须等待的时间数量（以毫秒为单位）。</w:t>
      </w:r>
    </w:p>
    <w:p>
      <w:pPr>
        <w:pStyle w:val="SourceCode"/>
      </w:pPr>
      <w:r>
        <w:rPr>
          <w:rStyle w:val="VerbatimChar"/>
        </w:rPr>
        <w:t xml:space="preserve">HTTP Status 429</w:t>
      </w:r>
      <w:r>
        <w:br w:type="textWrapping"/>
      </w:r>
      <w:r>
        <w:rPr>
          <w:rStyle w:val="VerbatimChar"/>
        </w:rPr>
        <w:t xml:space="preserve">Status Line: RequestRateTooLarge</w:t>
      </w:r>
      <w:r>
        <w:br w:type="textWrapping"/>
      </w:r>
      <w:r>
        <w:rPr>
          <w:rStyle w:val="VerbatimChar"/>
        </w:rPr>
        <w:t xml:space="preserve">x-ms-retry-after-ms :100</w:t>
      </w:r>
    </w:p>
    <w:p>
      <w:pPr>
        <w:pStyle w:val="FirstParagraph"/>
      </w:pPr>
      <w:r>
        <w:t xml:space="preserve">如果使用的是 .NET 客户端 SDK 和 LINQ 查询，则大多数情况下都不需要处理此异常，因为 .NET 客户端 SDK 的当前版本会隐式捕获此响应，并会遵循服务器指定的 retry-after 标头，然后重试请求。除非多个客户端同时访问你的帐户，否则下次重试就会成功。</w:t>
      </w:r>
    </w:p>
    <w:p>
      <w:pPr>
        <w:pStyle w:val="BodyText"/>
      </w:pPr>
      <w:r>
        <w:t xml:space="preserve">如果存在多个高于请求速率的请求操作，则默认重试行为可能无法满足需要，这时客户端就会向应用程序引发 DocumentClientException，其状态代码为 429。在这种情况下，你可以考虑处理重试行为和应用程序错误处理例程中的逻辑，或为集合增加保留的吞吐量。</w:t>
      </w:r>
    </w:p>
    <w:p>
      <w:pPr>
        <w:pStyle w:val="Heading2"/>
      </w:pPr>
      <w:bookmarkStart w:id="32" w:name="后续步骤"/>
      <w:bookmarkEnd w:id="32"/>
      <w:r>
        <w:t xml:space="preserve">后续步骤</w:t>
      </w:r>
    </w:p>
    <w:p>
      <w:pPr>
        <w:pStyle w:val="FirstParagraph"/>
      </w:pPr>
      <w:r>
        <w:t xml:space="preserve">若要了解有关 Azure DocumentDB 的保留吞吐量的详细信息，请浏览以下资源：</w:t>
      </w:r>
    </w:p>
    <w:p>
      <w:pPr>
        <w:pStyle w:val="Compact"/>
        <w:numPr>
          <w:numId w:val="1004"/>
          <w:ilvl w:val="0"/>
        </w:numPr>
      </w:pPr>
      <w:hyperlink r:id="rId33">
        <w:r>
          <w:rPr>
            <w:rStyle w:val="Hyperlink"/>
          </w:rPr>
          <w:t xml:space="preserve">DocumentDB 定价</w:t>
        </w:r>
      </w:hyperlink>
    </w:p>
    <w:p>
      <w:pPr>
        <w:pStyle w:val="Compact"/>
        <w:numPr>
          <w:numId w:val="1004"/>
          <w:ilvl w:val="0"/>
        </w:numPr>
      </w:pPr>
      <w:hyperlink r:id="rId34">
        <w:r>
          <w:rPr>
            <w:rStyle w:val="Hyperlink"/>
          </w:rPr>
          <w:t xml:space="preserve">管理 DocumentDB 容量</w:t>
        </w:r>
      </w:hyperlink>
    </w:p>
    <w:p>
      <w:pPr>
        <w:pStyle w:val="Compact"/>
        <w:numPr>
          <w:numId w:val="1004"/>
          <w:ilvl w:val="0"/>
        </w:numPr>
      </w:pPr>
      <w:hyperlink r:id="rId35">
        <w:r>
          <w:rPr>
            <w:rStyle w:val="Hyperlink"/>
          </w:rPr>
          <w:t xml:space="preserve">对 DocumentDB 中的数据进行建模</w:t>
        </w:r>
      </w:hyperlink>
    </w:p>
    <w:p>
      <w:pPr>
        <w:pStyle w:val="Compact"/>
        <w:numPr>
          <w:numId w:val="1004"/>
          <w:ilvl w:val="0"/>
        </w:numPr>
      </w:pPr>
      <w:hyperlink r:id="rId36">
        <w:r>
          <w:rPr>
            <w:rStyle w:val="Hyperlink"/>
          </w:rPr>
          <w:t xml:space="preserve">DocumentDB 性能级别</w:t>
        </w:r>
      </w:hyperlink>
    </w:p>
    <w:p>
      <w:pPr>
        <w:pStyle w:val="FirstParagraph"/>
      </w:pPr>
      <w:r>
        <w:t xml:space="preserve">若要了解有关 DocumentDB 的详细信息，请参阅 Azure DocumentDB</w:t>
      </w:r>
      <w:r>
        <w:t xml:space="preserve"> </w:t>
      </w:r>
      <w:hyperlink r:id="rId37">
        <w:r>
          <w:rPr>
            <w:rStyle w:val="Hyperlink"/>
          </w:rPr>
          <w:t xml:space="preserve">文档</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feba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8d31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ca94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34" Target="/documentation/articles/documentdb-manage" TargetMode="External" /><Relationship Type="http://schemas.openxmlformats.org/officeDocument/2006/relationships/hyperlink" Id="rId35" Target="/documentation/articles/documentdb-modeling-data" TargetMode="External" /><Relationship Type="http://schemas.openxmlformats.org/officeDocument/2006/relationships/hyperlink" Id="rId36" Target="/documentation/articles/documentdb-partition-data" TargetMode="External" /><Relationship Type="http://schemas.openxmlformats.org/officeDocument/2006/relationships/hyperlink" Id="rId26" Target="/documentation/articles/documentdb-performance-levels" TargetMode="External" /><Relationship Type="http://schemas.openxmlformats.org/officeDocument/2006/relationships/hyperlink" Id="rId37" Target="/documentation/services/documentdb/" TargetMode="External" /><Relationship Type="http://schemas.openxmlformats.org/officeDocument/2006/relationships/hyperlink" Id="rId33" Target="/pricing/details/documentdb/" TargetMode="External" /><Relationship Type="http://schemas.openxmlformats.org/officeDocument/2006/relationships/hyperlink" Id="rId22" Target="/services/documentdb/" TargetMode="External" /><Relationship Type="http://schemas.openxmlformats.org/officeDocument/2006/relationships/hyperlink" Id="rId25" Target="https://portal.azure.cn" TargetMode="External" /></Relationships>
</file>

<file path=word/_rels/footnotes.xml.rels><?xml version="1.0" encoding="UTF-8"?>
<Relationships xmlns="http://schemas.openxmlformats.org/package/2006/relationships"><Relationship Type="http://schemas.openxmlformats.org/officeDocument/2006/relationships/hyperlink" Id="rId34" Target="/documentation/articles/documentdb-manage" TargetMode="External" /><Relationship Type="http://schemas.openxmlformats.org/officeDocument/2006/relationships/hyperlink" Id="rId35" Target="/documentation/articles/documentdb-modeling-data" TargetMode="External" /><Relationship Type="http://schemas.openxmlformats.org/officeDocument/2006/relationships/hyperlink" Id="rId36" Target="/documentation/articles/documentdb-partition-data" TargetMode="External" /><Relationship Type="http://schemas.openxmlformats.org/officeDocument/2006/relationships/hyperlink" Id="rId26" Target="/documentation/articles/documentdb-performance-levels" TargetMode="External" /><Relationship Type="http://schemas.openxmlformats.org/officeDocument/2006/relationships/hyperlink" Id="rId37" Target="/documentation/services/documentdb/" TargetMode="External" /><Relationship Type="http://schemas.openxmlformats.org/officeDocument/2006/relationships/hyperlink" Id="rId33" Target="/pricing/details/documentdb/" TargetMode="External" /><Relationship Type="http://schemas.openxmlformats.org/officeDocument/2006/relationships/hyperlink" Id="rId22" Target="/services/documentdb/" TargetMode="External" /><Relationship Type="http://schemas.openxmlformats.org/officeDocument/2006/relationships/hyperlink" Id="rId25" Target="https://portal.azure.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