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7C2D4">
      <w:pPr>
        <w:jc w:val="center"/>
        <w:rPr>
          <w:sz w:val="32"/>
          <w:szCs w:val="40"/>
        </w:rPr>
      </w:pPr>
      <w:r>
        <w:rPr>
          <w:sz w:val="32"/>
          <w:szCs w:val="40"/>
        </w:rPr>
        <w:t>面向跨域联邦学习的解耦原型学习 — 中期进展报告</w:t>
      </w:r>
    </w:p>
    <w:p w14:paraId="460BAFE7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凌荣烨</w:t>
      </w:r>
    </w:p>
    <w:p w14:paraId="7EB34BD8">
      <w:pPr>
        <w:rPr>
          <w:sz w:val="24"/>
          <w:szCs w:val="32"/>
        </w:rPr>
      </w:pPr>
      <w:r>
        <w:rPr>
          <w:sz w:val="24"/>
          <w:szCs w:val="32"/>
        </w:rPr>
        <w:t>一、课题研究进展概述</w:t>
      </w:r>
    </w:p>
    <w:p w14:paraId="33143E3B">
      <w:pPr>
        <w:rPr>
          <w:rFonts w:hint="default"/>
        </w:rPr>
      </w:pPr>
      <w:r>
        <w:rPr>
          <w:rFonts w:hint="default"/>
        </w:rPr>
        <w:t>自开题以来，按照既定的研究路线稳步推进，目前已完成文献深度调研、算法框架设计与实现、基线方法复现以及初步实验验证等主要工作。整体进度符合预期，核心算法FedDSA（Decouple-Share-Align）已在PFLlib框架上完成开发，并在Digit-5和PACS数据集上进行了初步实验。当前处于实验改进阶段。</w:t>
      </w:r>
    </w:p>
    <w:p w14:paraId="552C97F1">
      <w:pPr>
        <w:rPr/>
      </w:pPr>
      <w:r>
        <w:t>阶段完成情况</w:t>
      </w:r>
    </w:p>
    <w:tbl>
      <w:tblPr>
        <w:tblW w:w="841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0"/>
        <w:gridCol w:w="2165"/>
        <w:gridCol w:w="1247"/>
        <w:gridCol w:w="4191"/>
      </w:tblGrid>
      <w:tr w14:paraId="7B29B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2BC6B0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阶段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781401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计划内容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C48B1E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完成状态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D4CF93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337B2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75E8A1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Phase 1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739339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文献调研与环境搭建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7F6184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 已完成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57B65A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深度分析30+篇论文，搭建PFLlib实验环境</w:t>
            </w:r>
          </w:p>
        </w:tc>
      </w:tr>
      <w:tr w14:paraId="09A0EE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C16EF9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Phase 2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712F6C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双头解耦模块开发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9B0E38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 已完成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7F9F8A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正交+HSIC双约束解耦，已通过代码审查</w:t>
            </w:r>
          </w:p>
        </w:tc>
      </w:tr>
      <w:tr w14:paraId="40344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AFA07F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Phase 3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6E88F2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风格仓库与增强机制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4909F3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 已完成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7E5824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全局风格仓库+AdaIN增强+随机调度</w:t>
            </w:r>
          </w:p>
        </w:tc>
      </w:tr>
      <w:tr w14:paraId="683AF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8F4DB8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Phase 4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749538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语义对齐与聚合策略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FE216A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 已完成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81D486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InfoNCE对比对齐+差异化参数聚合</w:t>
            </w:r>
          </w:p>
        </w:tc>
      </w:tr>
      <w:tr w14:paraId="00D43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4E5D9C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Phase 5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A180E7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基线复现与初步实验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801F16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 进行中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544A6E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基线已复现，初步实验已跑通，消融实验进行中</w:t>
            </w:r>
          </w:p>
        </w:tc>
      </w:tr>
      <w:tr w14:paraId="4E866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012DA2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Phase 6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477E31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完整实验与论文撰写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D07C1D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 待开始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705A0E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计划4月</w:t>
            </w:r>
            <w:r>
              <w:rPr>
                <w:rFonts w:hint="eastAsia"/>
                <w:lang w:val="en-US" w:eastAsia="zh-CN"/>
              </w:rPr>
              <w:t>中</w:t>
            </w:r>
            <w:r>
              <w:rPr>
                <w:rFonts w:hint="default"/>
                <w:lang w:val="en-US" w:eastAsia="zh-CN"/>
              </w:rPr>
              <w:t>旬开始</w:t>
            </w:r>
          </w:p>
        </w:tc>
      </w:tr>
    </w:tbl>
    <w:p w14:paraId="352FA47F"/>
    <w:p w14:paraId="63752912">
      <w:pPr>
        <w:rPr>
          <w:sz w:val="24"/>
          <w:szCs w:val="32"/>
        </w:rPr>
      </w:pPr>
    </w:p>
    <w:p w14:paraId="34A1E10E">
      <w:pPr>
        <w:rPr>
          <w:sz w:val="24"/>
          <w:szCs w:val="32"/>
        </w:rPr>
      </w:pPr>
      <w:r>
        <w:rPr>
          <w:sz w:val="24"/>
          <w:szCs w:val="32"/>
        </w:rPr>
        <w:t>二、研究工作详细进展</w:t>
      </w:r>
      <w:bookmarkStart w:id="0" w:name="_GoBack"/>
      <w:bookmarkEnd w:id="0"/>
    </w:p>
    <w:p w14:paraId="2CC8C938">
      <w:pPr>
        <w:rPr/>
      </w:pPr>
      <w:r>
        <w:t>2.1 文献调研与方案迭代</w:t>
      </w:r>
    </w:p>
    <w:p w14:paraId="01AB2E53">
      <w:pPr>
        <w:rPr>
          <w:rFonts w:hint="default"/>
        </w:rPr>
      </w:pPr>
      <w:r>
        <w:rPr>
          <w:rFonts w:hint="default"/>
        </w:rPr>
        <w:t>在开题报告的基础上，进一步调研了2025-2026年的最新跨域联邦学习论文，共新增分析15篇关键论文。特别关注了以下几个方向的最新进展：</w:t>
      </w:r>
    </w:p>
    <w:p w14:paraId="3E651566">
      <w:pPr>
        <w:rPr>
          <w:rFonts w:hint="default"/>
        </w:rPr>
      </w:pPr>
      <w:r>
        <w:t>（1）原型学习新进展</w:t>
      </w:r>
      <w:r>
        <w:rPr>
          <w:rFonts w:hint="default"/>
        </w:rPr>
        <w:t>：分析了MPFT（ICLR 2025，预训练模型+多域原型微调）、FedCPD（IJCAI 2025，原型增强+记忆蒸馏）、FedSA（AAAI 2025，可学习语义锚点）等新方法，确认原型学习在跨域FL中的研究热度持续上升。</w:t>
      </w:r>
    </w:p>
    <w:p w14:paraId="3DFD8934">
      <w:pPr>
        <w:rPr>
          <w:rFonts w:hint="default"/>
        </w:rPr>
      </w:pPr>
      <w:r>
        <w:t>（2）特征解耦新方法</w:t>
      </w:r>
      <w:r>
        <w:rPr>
          <w:rFonts w:hint="default"/>
        </w:rPr>
        <w:t>：调研了FedSDAF（双适配器解耦）、FediOS（正交子空间解耦）、SCFlow（ICCV 2025，流模型解耦）等方法，对比了余弦正交、互信息最小化、梯度反转、HSIC核独立性、对比解耦、生成式解耦六类解耦技术的优劣，最终选择了正交+HSIC互补约束作为本方案的解耦策略。</w:t>
      </w:r>
    </w:p>
    <w:p w14:paraId="6FCC0009">
      <w:pPr>
        <w:rPr>
          <w:rFonts w:hint="default"/>
        </w:rPr>
      </w:pPr>
      <w:r>
        <w:t>（3）风格共享新方向</w:t>
      </w:r>
      <w:r>
        <w:rPr>
          <w:rFonts w:hint="default"/>
        </w:rPr>
        <w:t>：发现了FISC/PARDON（ICDCS 2025，插值风格迁移+对比学习）、StyleDDG（去中心化风格共享+收敛证明）等风格共享方法，但它们均在混合（纠缠）特征空间操作，不做显式解耦。这进一步验证了本方案"先解耦再共享"的差异化定位。</w:t>
      </w:r>
    </w:p>
    <w:p w14:paraId="57484002">
      <w:pPr>
        <w:rPr>
          <w:rFonts w:hint="default"/>
        </w:rPr>
      </w:pPr>
      <w:r>
        <w:t>（4）</w:t>
      </w:r>
      <w:r>
        <w:rPr>
          <w:rFonts w:hint="eastAsia"/>
          <w:lang w:val="en-US" w:eastAsia="zh-CN"/>
        </w:rPr>
        <w:t>方向相似的论文</w:t>
      </w:r>
      <w:r>
        <w:rPr>
          <w:rFonts w:hint="default"/>
        </w:rPr>
        <w:t>：通过深入调研，</w:t>
      </w:r>
      <w:r>
        <w:rPr>
          <w:rFonts w:hint="eastAsia"/>
          <w:lang w:val="en-US" w:eastAsia="zh-CN"/>
        </w:rPr>
        <w:t>找到了</w:t>
      </w:r>
      <w:r>
        <w:rPr>
          <w:rFonts w:hint="default"/>
        </w:rPr>
        <w:t>FedSeProto（ECAI 2024）和FedDP（IEEE TMC 2025）两个</w:t>
      </w:r>
      <w:r>
        <w:rPr>
          <w:rFonts w:hint="eastAsia"/>
          <w:lang w:val="en-US" w:eastAsia="zh-CN"/>
        </w:rPr>
        <w:t>方向相似的论文</w:t>
      </w:r>
      <w:r>
        <w:rPr>
          <w:rFonts w:hint="default"/>
        </w:rPr>
        <w:t>。两者均做语义/域特征分离，但分离后丢弃域特征。本方案的核心差异在于保留风格特征并将其资产化共享。</w:t>
      </w:r>
    </w:p>
    <w:p w14:paraId="2865A870">
      <w:pPr>
        <w:rPr>
          <w:rFonts w:hint="default"/>
        </w:rPr>
      </w:pPr>
      <w:r>
        <w:rPr>
          <w:rFonts w:hint="default"/>
        </w:rPr>
        <w:t>基于调研结果，将现有方法系统归类为四派：擦除派（FDSE、FedSeProto、FedDP）、私有派（FedSTAR、FedBN）、共享但不解耦派（FISC、StyleDDG、FedCCRL）、以及本方案所在的</w:t>
      </w:r>
      <w:r>
        <w:t>解耦+</w:t>
      </w:r>
      <w:r>
        <w:rPr>
          <w:rFonts w:hint="eastAsia"/>
          <w:lang w:val="en-US" w:eastAsia="zh-CN"/>
        </w:rPr>
        <w:t>风格利用</w:t>
      </w:r>
      <w:r>
        <w:rPr>
          <w:rFonts w:hint="default"/>
        </w:rPr>
        <w:t>。</w:t>
      </w:r>
    </w:p>
    <w:p w14:paraId="4A6C0D34">
      <w:pPr>
        <w:rPr>
          <w:rFonts w:hint="default"/>
        </w:rPr>
      </w:pPr>
    </w:p>
    <w:p w14:paraId="3B737AFD">
      <w:pPr>
        <w:rPr/>
      </w:pPr>
      <w:r>
        <w:t>2.2 算法框架设计与优化</w:t>
      </w:r>
    </w:p>
    <w:p w14:paraId="6A445CCB">
      <w:pPr>
        <w:rPr>
          <w:rFonts w:hint="default"/>
        </w:rPr>
      </w:pPr>
      <w:r>
        <w:rPr>
          <w:rFonts w:hint="default"/>
        </w:rPr>
        <w:t>基于开题报告的模块架构，</w:t>
      </w:r>
      <w:r>
        <w:rPr>
          <w:rFonts w:hint="eastAsia"/>
          <w:lang w:val="en-US" w:eastAsia="zh-CN"/>
        </w:rPr>
        <w:t>初步</w:t>
      </w:r>
      <w:r>
        <w:rPr>
          <w:rFonts w:hint="default"/>
        </w:rPr>
        <w:t>对各模块进行了以下优化：</w:t>
      </w:r>
    </w:p>
    <w:p w14:paraId="7BDAABD7">
      <w:pPr>
        <w:rPr>
          <w:rFonts w:hint="default"/>
        </w:rPr>
      </w:pPr>
      <w:r>
        <w:t>模块一：正交+HSIC双重约束解耦</w:t>
      </w:r>
    </w:p>
    <w:p w14:paraId="7B745988">
      <w:pPr>
        <w:rPr>
          <w:rFonts w:hint="default"/>
        </w:rPr>
      </w:pPr>
      <w:r>
        <w:rPr>
          <w:rFonts w:hint="default"/>
        </w:rPr>
        <w:t>在开题报告中仅使用余弦正交约束，经调研发现该约束仅能消除线性相关，无法处理非线性统计依赖。借鉴NeurIPS 2024 sisPCA的HSIC子空间解耦思想，增加了HSIC核独立性约束：</w:t>
      </w:r>
    </w:p>
    <w:p w14:paraId="301473F5">
      <w:pPr>
        <w:rPr>
          <w:rFonts w:hint="default"/>
        </w:rPr>
      </w:pPr>
      <w:r>
        <w:rPr>
          <w:rFonts w:hint="default"/>
        </w:rPr>
        <w:t>其中HSIC采用高斯核函数，带宽使用median heuristic自适应选择。两种约束互补：正交约束快速粗粒度方向分离，HSIC细粒度消除非线性依赖。</w:t>
      </w:r>
    </w:p>
    <w:p w14:paraId="369A5F65">
      <w:pPr>
        <w:rPr>
          <w:rFonts w:hint="default"/>
        </w:rPr>
      </w:pPr>
      <w:r>
        <w:t>模块三：语义对比对齐</w:t>
      </w:r>
    </w:p>
    <w:p w14:paraId="18DECFA3">
      <w:pPr>
        <w:rPr>
          <w:rFonts w:hint="default"/>
        </w:rPr>
      </w:pPr>
      <w:r>
        <w:rPr>
          <w:rFonts w:hint="default"/>
        </w:rPr>
        <w:t>保持开题报告的对比学习软对齐策略，进一步明确了InfoNCE损失的具体实现：</w:t>
      </w:r>
    </w:p>
    <w:p w14:paraId="2BA53D32">
      <w:pPr>
        <w:rPr>
          <w:rFonts w:hint="default"/>
        </w:rPr>
      </w:pPr>
      <w:r>
        <w:rPr>
          <w:rFonts w:hint="default"/>
        </w:rPr>
        <w:t>温度参数τ=0.1，正样本为同类全局语义原型，负样本为所有其他类全局原型。实现上采用向量化计算替代逐样本循环，提升训练效率。</w:t>
      </w:r>
    </w:p>
    <w:p w14:paraId="2D861AA3">
      <w:pPr>
        <w:rPr>
          <w:rFonts w:hint="default"/>
        </w:rPr>
      </w:pPr>
      <w:r>
        <w:t>差异化聚合策略</w:t>
      </w:r>
      <w:r>
        <w:rPr>
          <w:rFonts w:hint="default"/>
        </w:rPr>
        <w:t>：骨干网络卷积层+语义头+语义分类器参与FedAvg聚合，风格头和BN层保持本地私有，实现信息的选择性共享。</w:t>
      </w:r>
    </w:p>
    <w:p w14:paraId="68110C3B">
      <w:pPr>
        <w:rPr>
          <w:rFonts w:hint="default"/>
        </w:rPr>
      </w:pPr>
    </w:p>
    <w:p w14:paraId="17D03F63">
      <w:pPr>
        <w:rPr/>
      </w:pPr>
      <w:r>
        <w:t>2.3 代码实现与工程优化</w:t>
      </w:r>
    </w:p>
    <w:p w14:paraId="55ECA381">
      <w:pPr>
        <w:rPr>
          <w:rFonts w:hint="default"/>
        </w:rPr>
      </w:pPr>
      <w:r>
        <w:rPr>
          <w:rFonts w:hint="default"/>
        </w:rPr>
        <w:t>基于PFLlib开源联邦学习框架，完成了FedDSA算法的完整实现，主要包括：</w:t>
      </w:r>
    </w:p>
    <w:p w14:paraId="2A387087">
      <w:pPr>
        <w:rPr/>
      </w:pPr>
      <w:r>
        <w:t>客户端实现</w:t>
      </w:r>
      <w:r>
        <w:rPr>
          <w:rFonts w:hint="default"/>
        </w:rPr>
        <w:t>：双头解耦架构、正交+HSIC损失计算、AdaIN风格增强、InfoNCE语义对齐、在线原型累加</w:t>
      </w:r>
    </w:p>
    <w:p w14:paraId="49F3F1BB">
      <w:pPr>
        <w:rPr/>
      </w:pPr>
      <w:r>
        <w:t>服务器实现</w:t>
      </w:r>
      <w:r>
        <w:rPr>
          <w:rFonts w:hint="default"/>
        </w:rPr>
        <w:t>：差异化参数聚合、全局风格仓库管理（去重+dispatch）、语义原型加权聚合</w:t>
      </w:r>
    </w:p>
    <w:p w14:paraId="2C7509B8">
      <w:r>
        <w:t>数据集支持</w:t>
      </w:r>
    </w:p>
    <w:p w14:paraId="0BDC6D11"/>
    <w:p w14:paraId="0C4D6DD2">
      <w:pPr>
        <w:rPr/>
      </w:pPr>
      <w:r>
        <w:t>2.4 基线方法复现</w:t>
      </w:r>
    </w:p>
    <w:p w14:paraId="612740FB">
      <w:pPr>
        <w:rPr>
          <w:rFonts w:hint="default"/>
        </w:rPr>
      </w:pPr>
      <w:r>
        <w:rPr>
          <w:rFonts w:hint="default"/>
        </w:rPr>
        <w:t>在PFLlib框架上完成了以下基线方法的复现和验证：</w:t>
      </w:r>
    </w:p>
    <w:tbl>
      <w:tblPr>
        <w:tblW w:w="453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2"/>
        <w:gridCol w:w="1794"/>
        <w:gridCol w:w="1419"/>
      </w:tblGrid>
      <w:tr w14:paraId="33B9C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EA97A5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方法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4420F4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30DE6C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复现状态</w:t>
            </w:r>
          </w:p>
        </w:tc>
      </w:tr>
      <w:tr w14:paraId="29E48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5D2D43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FedAvg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E68767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基础聚合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507F1C8">
            <w:pPr>
              <w:ind w:firstLine="210" w:firstLineChars="10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已复现</w:t>
            </w:r>
          </w:p>
        </w:tc>
      </w:tr>
      <w:tr w14:paraId="12586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265C38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FedProx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E73A77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近端正则化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92E372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 已复现</w:t>
            </w:r>
          </w:p>
        </w:tc>
      </w:tr>
      <w:tr w14:paraId="55EFB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D66687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FedBN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DCA492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BN本地化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B78834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 已复现</w:t>
            </w:r>
          </w:p>
        </w:tc>
      </w:tr>
      <w:tr w14:paraId="78E2D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935C67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FedProto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31B1B2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原型+MSE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1C2D2B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 已复现</w:t>
            </w:r>
          </w:p>
        </w:tc>
      </w:tr>
      <w:tr w14:paraId="42BAD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E2E849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FPL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EC2CA3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聚类原型+InfoNCE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50B3E2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 已复现</w:t>
            </w:r>
          </w:p>
        </w:tc>
      </w:tr>
      <w:tr w14:paraId="2124F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13B917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FedPLVM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378659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多层聚类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AEA239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 已复现</w:t>
            </w:r>
          </w:p>
        </w:tc>
      </w:tr>
      <w:tr w14:paraId="2E1CB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4506E3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FDSE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A1C07E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层分解擦除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71CD19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 调试中</w:t>
            </w:r>
          </w:p>
        </w:tc>
      </w:tr>
      <w:tr w14:paraId="63735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64A4B4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FISC/PARDON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27639B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风格共享(不解耦)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FFE5E5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 已获取代码</w:t>
            </w:r>
          </w:p>
        </w:tc>
      </w:tr>
    </w:tbl>
    <w:p w14:paraId="0F0BF3CD">
      <w:pPr>
        <w:rPr>
          <w:rFonts w:hint="default"/>
        </w:rPr>
      </w:pPr>
    </w:p>
    <w:p w14:paraId="59FD753B">
      <w:pPr>
        <w:rPr/>
      </w:pPr>
      <w:r>
        <w:t>2.5 初步实验验证</w:t>
      </w:r>
    </w:p>
    <w:p w14:paraId="735399DA">
      <w:pPr>
        <w:rPr>
          <w:rFonts w:hint="default"/>
        </w:rPr>
      </w:pPr>
      <w:r>
        <w:rPr>
          <w:rFonts w:hint="default"/>
        </w:rPr>
        <w:t>已在Digit-5数据集（5个域，10类）上完成FedDSA的初步运行验证（sanity check），确认算法流程跑通、损失正常下降、各模块协同工作正常。初步结果显示FedDSA相较FedProto和FedBN基线有一定提升，特别在困难域（如SVHN）上改善较为明显，验证了"风格资产化共享"思路的可行性。</w:t>
      </w:r>
    </w:p>
    <w:p w14:paraId="03B20E43">
      <w:pPr>
        <w:rPr>
          <w:rFonts w:hint="default"/>
        </w:rPr>
      </w:pPr>
    </w:p>
    <w:p w14:paraId="53E83352">
      <w:pPr>
        <w:rPr>
          <w:rFonts w:hint="default"/>
        </w:rPr>
      </w:pPr>
      <w:r>
        <w:rPr>
          <w:rFonts w:hint="default"/>
        </w:rPr>
        <w:t>目前正在进行更系统的消融实验和超参数调优，完整的定量结果将在下一阶段给出。</w:t>
      </w:r>
    </w:p>
    <w:p w14:paraId="16A97075"/>
    <w:p w14:paraId="3443BE37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三、后面计划</w:t>
      </w:r>
    </w:p>
    <w:p w14:paraId="04342DA4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3</w:t>
      </w:r>
      <w:r>
        <w:rPr>
          <w:sz w:val="24"/>
          <w:szCs w:val="32"/>
        </w:rPr>
        <w:t>.1 近期计划（4月上旬-4月中旬）</w:t>
      </w:r>
    </w:p>
    <w:p w14:paraId="59D4317A">
      <w:pPr>
        <w:rPr>
          <w:rFonts w:hint="default"/>
        </w:rPr>
      </w:pPr>
      <w:r>
        <w:t>（1）完成核心消融实验</w:t>
      </w:r>
    </w:p>
    <w:p w14:paraId="6F0C01A2">
      <w:pPr>
        <w:rPr>
          <w:rFonts w:hint="default"/>
        </w:rPr>
      </w:pPr>
      <w:r>
        <w:rPr>
          <w:rFonts w:hint="default"/>
        </w:rPr>
        <w:t>设计2×2消融矩阵验证核心贡献：</w:t>
      </w:r>
    </w:p>
    <w:tbl>
      <w:tblPr>
        <w:tblW w:w="76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8"/>
        <w:gridCol w:w="1792"/>
        <w:gridCol w:w="1598"/>
        <w:gridCol w:w="2781"/>
      </w:tblGrid>
      <w:tr w14:paraId="7ECC7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07239F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变体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9FE1E8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解耦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A8E299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共享</w:t>
            </w:r>
          </w:p>
        </w:tc>
        <w:tc>
          <w:tcPr>
            <w:tcW w:w="2781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4206B7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目的</w:t>
            </w:r>
          </w:p>
        </w:tc>
      </w:tr>
      <w:tr w14:paraId="69D0A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1BC3ED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Full (FedDSA)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A09D2B3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3C631B7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781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924185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完整方法</w:t>
            </w:r>
          </w:p>
        </w:tc>
      </w:tr>
      <w:tr w14:paraId="0C01A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6C8562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Decouple-only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2C5DB55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8FCD16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2781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4274C7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验证共享的贡献</w:t>
            </w:r>
          </w:p>
        </w:tc>
      </w:tr>
      <w:tr w14:paraId="23C8C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3E9D48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Share-only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70F5146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41CF065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781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E99926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验证解耦的贡献</w:t>
            </w:r>
          </w:p>
        </w:tc>
      </w:tr>
      <w:tr w14:paraId="4B2B6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DAD070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Neither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9163679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7B0A9E7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2781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60DB65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底线baseline</w:t>
            </w:r>
          </w:p>
        </w:tc>
      </w:tr>
    </w:tbl>
    <w:p w14:paraId="7AD14F0D"/>
    <w:p w14:paraId="6ED15478">
      <w:pPr>
        <w:rPr/>
      </w:pPr>
      <w:r>
        <w:t>4.2 中期计划（4月中旬-4月下旬）</w:t>
      </w:r>
    </w:p>
    <w:p w14:paraId="0B57099F">
      <w:pPr>
        <w:rPr>
          <w:rFonts w:hint="default"/>
        </w:rPr>
      </w:pPr>
      <w:r>
        <w:t>（1）PACS完整实验</w:t>
      </w:r>
    </w:p>
    <w:p w14:paraId="0D9120C1">
      <w:pPr>
        <w:rPr>
          <w:rFonts w:hint="default"/>
        </w:rPr>
      </w:pPr>
      <w:r>
        <w:rPr>
          <w:rFonts w:hint="default"/>
        </w:rPr>
        <w:t>在PACS数据集（4域7类：Photo/Art/Cartoon/Sketch）上运行完整主表实验：</w:t>
      </w:r>
    </w:p>
    <w:p w14:paraId="2172BD55">
      <w:pPr>
        <w:rPr/>
      </w:pPr>
      <w:r>
        <w:rPr>
          <w:rFonts w:hint="default"/>
        </w:rPr>
        <w:t>所有基线方法（FedAvg, FedProx, FedBN, FedProto, FPL, FedPLVM, FDSE）</w:t>
      </w:r>
    </w:p>
    <w:p w14:paraId="567D6C84">
      <w:pPr>
        <w:rPr/>
      </w:pPr>
      <w:r>
        <w:rPr>
          <w:rFonts w:hint="default"/>
        </w:rPr>
        <w:t>FedDSA完整方法</w:t>
      </w:r>
    </w:p>
    <w:p w14:paraId="6500D148">
      <w:pPr>
        <w:rPr>
          <w:rFonts w:hint="default"/>
        </w:rPr>
      </w:pPr>
      <w:r>
        <w:rPr>
          <w:rFonts w:hint="default"/>
        </w:rPr>
        <w:t>3个随机种子，报告均值±标准差</w:t>
      </w:r>
    </w:p>
    <w:p w14:paraId="112DE03F">
      <w:pPr>
        <w:rPr>
          <w:rFonts w:hint="default"/>
        </w:rPr>
      </w:pPr>
    </w:p>
    <w:p w14:paraId="3CD97295">
      <w:pPr>
        <w:rPr>
          <w:rFonts w:hint="default"/>
        </w:rPr>
      </w:pPr>
      <w:r>
        <w:t>（2）DomainNet子集实验</w:t>
      </w:r>
    </w:p>
    <w:p w14:paraId="43F5CC5D">
      <w:pPr>
        <w:rPr>
          <w:rFonts w:hint="default"/>
        </w:rPr>
      </w:pPr>
      <w:r>
        <w:rPr>
          <w:rFonts w:hint="default"/>
        </w:rPr>
        <w:t>在DomainNet 10类子集（6域）上验证方法的可扩展性。</w:t>
      </w:r>
    </w:p>
    <w:p w14:paraId="53E239C7">
      <w:pPr>
        <w:rPr>
          <w:rFonts w:hint="default"/>
        </w:rPr>
      </w:pPr>
    </w:p>
    <w:p w14:paraId="6B4656E4">
      <w:pPr>
        <w:rPr>
          <w:rFonts w:hint="default"/>
        </w:rPr>
      </w:pPr>
      <w:r>
        <w:t>（</w:t>
      </w:r>
      <w:r>
        <w:rPr>
          <w:rFonts w:hint="eastAsia"/>
          <w:lang w:val="en-US" w:eastAsia="zh-CN"/>
        </w:rPr>
        <w:t>3</w:t>
      </w:r>
      <w:r>
        <w:t>）通信与计算开销分析</w:t>
      </w:r>
    </w:p>
    <w:p w14:paraId="278B5B57">
      <w:pPr>
        <w:rPr/>
      </w:pPr>
      <w:r>
        <w:rPr>
          <w:rFonts w:hint="default"/>
        </w:rPr>
        <w:t>每轮通信量对比（vs FedAvg/FedProto）</w:t>
      </w:r>
    </w:p>
    <w:p w14:paraId="4FF82DAC">
      <w:pPr>
        <w:rPr/>
      </w:pPr>
      <w:r>
        <w:rPr>
          <w:rFonts w:hint="default"/>
        </w:rPr>
        <w:t>服务器风格仓库内存消耗</w:t>
      </w:r>
    </w:p>
    <w:p w14:paraId="2451A190">
      <w:pPr>
        <w:rPr>
          <w:rFonts w:hint="default"/>
        </w:rPr>
      </w:pPr>
      <w:r>
        <w:rPr>
          <w:rFonts w:hint="default"/>
        </w:rPr>
        <w:t>单轮训练时间对比</w:t>
      </w:r>
    </w:p>
    <w:p w14:paraId="6DD62065">
      <w:pPr>
        <w:rPr>
          <w:rFonts w:hint="default"/>
        </w:rPr>
      </w:pPr>
    </w:p>
    <w:p w14:paraId="074CD2EE">
      <w:pPr>
        <w:rPr/>
      </w:pPr>
      <w:r>
        <w:t>4.3 后期计划（4月</w:t>
      </w:r>
      <w:r>
        <w:rPr>
          <w:rFonts w:hint="eastAsia"/>
          <w:lang w:val="en-US" w:eastAsia="zh-CN"/>
        </w:rPr>
        <w:t>中下旬</w:t>
      </w:r>
      <w:r>
        <w:t>）</w:t>
      </w:r>
    </w:p>
    <w:p w14:paraId="626E518C">
      <w:pPr>
        <w:rPr>
          <w:rFonts w:hint="default"/>
        </w:rPr>
      </w:pPr>
      <w:r>
        <w:t>（1）论文撰写</w:t>
      </w:r>
    </w:p>
    <w:p w14:paraId="60BE3445">
      <w:pPr>
        <w:rPr>
          <w:rFonts w:hint="default"/>
        </w:rPr>
      </w:pPr>
      <w:r>
        <w:t>（2）可视化分析</w:t>
      </w:r>
    </w:p>
    <w:p w14:paraId="2D462307">
      <w:pPr>
        <w:rPr>
          <w:rFonts w:hint="default"/>
        </w:rPr>
      </w:pPr>
      <w:r>
        <w:t>（3）补充实验（如时间允许）</w:t>
      </w:r>
    </w:p>
    <w:p w14:paraId="6B4BB242"/>
    <w:p w14:paraId="654197C4">
      <w:pPr>
        <w:rPr>
          <w:rFonts w:hint="eastAsia"/>
          <w:sz w:val="24"/>
          <w:szCs w:val="32"/>
          <w:lang w:val="en-US" w:eastAsia="zh-CN"/>
        </w:rPr>
      </w:pPr>
    </w:p>
    <w:p w14:paraId="570B268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四、小结</w:t>
      </w:r>
    </w:p>
    <w:p w14:paraId="618ACA39">
      <w:pPr>
        <w:rPr>
          <w:rFonts w:hint="default"/>
        </w:rPr>
      </w:pPr>
      <w:r>
        <w:rPr>
          <w:rFonts w:hint="default"/>
        </w:rPr>
        <w:t>课题进展总体顺利。核心算法FedDSA已完成设计、实现和初步验证，在Digit-5上的初步结果显示方法有效。当前的主要工作是完善消融实验体系，特别是2×2核心消融和解耦诊断实验，以充分验证"先解耦再共享"这一核心贡献的有效性。接下来将在PACS和DomainNet上进行完整实验，同步推进论文撰写。</w:t>
      </w:r>
    </w:p>
    <w:p w14:paraId="1D43088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8B090B"/>
    <w:rsid w:val="378B0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2026-04-02T12:29:00Z</dcterms:created>
  <dc:creator>一 夜浮华</dc:creator>
  <cp:lastModifiedBy>一 夜浮华</cp:lastModifiedBy>
  <dcterms:modified xsi:type="dcterms:W3CDTF">2026-04-02T12:51:44Z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0C9FD538C96B4CF5886A2DE27AEFE00A_11</vt:lpwstr>
  </property>
  <property fmtid="{D5CDD505-2E9C-101B-9397-08002B2CF9AE}" pid="4" name="KSOTemplateDocerSaveRecord">
    <vt:lpwstr>eyJoZGlkIjoiMDkxZTNkYTE4MzcwZjBiNTE3ZTU5YTYxZWM3NjgzODMiLCJ1c2VySWQiOiI3MDU4MzczOTcifQ==</vt:lpwstr>
  </property>
</Properties>
</file>