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F4C82D">
      <w:pPr>
        <w:jc w:val="center"/>
        <w:rPr>
          <w:bCs/>
          <w:sz w:val="24"/>
        </w:rPr>
      </w:pPr>
      <w:r>
        <w:rPr>
          <w:rFonts w:hint="eastAsia"/>
          <w:bCs/>
          <w:sz w:val="24"/>
        </w:rPr>
        <w:drawing>
          <wp:inline distT="0" distB="0" distL="114300" distR="114300">
            <wp:extent cx="4337050" cy="979170"/>
            <wp:effectExtent l="0" t="0" r="6350" b="1905"/>
            <wp:docPr id="1" name="图片 1" descr="75668790-db68-4f33-8aaf-616de5083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5668790-db68-4f33-8aaf-616de5083866"/>
                    <pic:cNvPicPr>
                      <a:picLocks noChangeAspect="1"/>
                    </pic:cNvPicPr>
                  </pic:nvPicPr>
                  <pic:blipFill>
                    <a:blip r:embed="rId6"/>
                    <a:stretch>
                      <a:fillRect/>
                    </a:stretch>
                  </pic:blipFill>
                  <pic:spPr>
                    <a:xfrm>
                      <a:off x="0" y="0"/>
                      <a:ext cx="4337050" cy="979170"/>
                    </a:xfrm>
                    <a:prstGeom prst="rect">
                      <a:avLst/>
                    </a:prstGeom>
                    <a:noFill/>
                    <a:ln>
                      <a:noFill/>
                    </a:ln>
                  </pic:spPr>
                </pic:pic>
              </a:graphicData>
            </a:graphic>
          </wp:inline>
        </w:drawing>
      </w:r>
    </w:p>
    <w:p w14:paraId="4951D979">
      <w:pPr>
        <w:jc w:val="center"/>
        <w:rPr>
          <w:bCs/>
          <w:sz w:val="24"/>
        </w:rPr>
      </w:pPr>
    </w:p>
    <w:p w14:paraId="46744378">
      <w:pPr>
        <w:jc w:val="center"/>
        <w:rPr>
          <w:rFonts w:hint="eastAsia"/>
          <w:bCs/>
          <w:sz w:val="24"/>
        </w:rPr>
      </w:pPr>
    </w:p>
    <w:p w14:paraId="2AD1692B">
      <w:pPr>
        <w:jc w:val="center"/>
        <w:rPr>
          <w:rFonts w:hint="eastAsia" w:eastAsia="黑体"/>
          <w:b/>
          <w:bCs/>
          <w:sz w:val="56"/>
          <w:szCs w:val="60"/>
        </w:rPr>
      </w:pPr>
      <w:r>
        <w:rPr>
          <w:rFonts w:hint="eastAsia" w:eastAsia="黑体"/>
          <w:b/>
          <w:bCs/>
          <w:sz w:val="56"/>
          <w:szCs w:val="60"/>
        </w:rPr>
        <w:t>本科毕业设计（论文）开题报告</w:t>
      </w:r>
    </w:p>
    <w:p w14:paraId="5C144647">
      <w:pPr>
        <w:rPr>
          <w:sz w:val="30"/>
        </w:rPr>
      </w:pPr>
    </w:p>
    <w:p w14:paraId="327DEC5D">
      <w:pPr>
        <w:rPr>
          <w:rFonts w:hint="eastAsia"/>
          <w:sz w:val="30"/>
        </w:rPr>
      </w:pPr>
    </w:p>
    <w:tbl>
      <w:tblPr>
        <w:tblStyle w:val="8"/>
        <w:tblW w:w="8320" w:type="dxa"/>
        <w:jc w:val="center"/>
        <w:tblLayout w:type="autofit"/>
        <w:tblCellMar>
          <w:top w:w="0" w:type="dxa"/>
          <w:left w:w="108" w:type="dxa"/>
          <w:bottom w:w="0" w:type="dxa"/>
          <w:right w:w="108" w:type="dxa"/>
        </w:tblCellMar>
      </w:tblPr>
      <w:tblGrid>
        <w:gridCol w:w="2167"/>
        <w:gridCol w:w="6153"/>
      </w:tblGrid>
      <w:tr w14:paraId="5F14EA8A">
        <w:tblPrEx>
          <w:tblCellMar>
            <w:top w:w="0" w:type="dxa"/>
            <w:left w:w="108" w:type="dxa"/>
            <w:bottom w:w="0" w:type="dxa"/>
            <w:right w:w="108" w:type="dxa"/>
          </w:tblCellMar>
        </w:tblPrEx>
        <w:trPr>
          <w:wBefore w:w="0" w:type="dxa"/>
          <w:trHeight w:val="570" w:hRule="atLeast"/>
          <w:jc w:val="center"/>
        </w:trPr>
        <w:tc>
          <w:tcPr>
            <w:tcW w:w="2167" w:type="dxa"/>
            <w:shd w:val="clear" w:color="auto" w:fill="auto"/>
            <w:noWrap w:val="0"/>
            <w:vAlign w:val="center"/>
          </w:tcPr>
          <w:p w14:paraId="4D8096EE">
            <w:pPr>
              <w:jc w:val="center"/>
              <w:rPr>
                <w:rFonts w:hint="eastAsia"/>
                <w:sz w:val="30"/>
              </w:rPr>
            </w:pPr>
            <w:r>
              <w:rPr>
                <w:rFonts w:hint="eastAsia" w:eastAsia="黑体"/>
                <w:b/>
                <w:sz w:val="36"/>
              </w:rPr>
              <w:t>论文题目</w:t>
            </w:r>
          </w:p>
        </w:tc>
        <w:tc>
          <w:tcPr>
            <w:tcW w:w="6153" w:type="dxa"/>
            <w:tcBorders>
              <w:bottom w:val="single" w:color="auto" w:sz="4" w:space="0"/>
            </w:tcBorders>
            <w:shd w:val="clear" w:color="auto" w:fill="auto"/>
            <w:noWrap w:val="0"/>
            <w:vAlign w:val="center"/>
          </w:tcPr>
          <w:p w14:paraId="1DD8BCAF">
            <w:pPr>
              <w:jc w:val="center"/>
              <w:rPr>
                <w:rFonts w:hint="eastAsia"/>
                <w:sz w:val="32"/>
              </w:rPr>
            </w:pPr>
            <w:r>
              <w:rPr>
                <w:rFonts w:hint="eastAsia"/>
                <w:sz w:val="32"/>
                <w:lang w:val="en-US" w:eastAsia="zh-CN"/>
              </w:rPr>
              <w:t>面向跨域联邦学习的解耦原型学习研究</w:t>
            </w:r>
            <w:r>
              <w:rPr>
                <w:rFonts w:hint="eastAsia"/>
                <w:sz w:val="32"/>
              </w:rPr>
              <w:t xml:space="preserve"> </w:t>
            </w:r>
          </w:p>
        </w:tc>
      </w:tr>
    </w:tbl>
    <w:p w14:paraId="0B55CBE6">
      <w:pPr>
        <w:rPr>
          <w:rFonts w:hint="eastAsia"/>
        </w:rPr>
      </w:pPr>
    </w:p>
    <w:p w14:paraId="3B0292FF">
      <w:pPr>
        <w:rPr>
          <w:rFonts w:hint="eastAsia"/>
        </w:rPr>
      </w:pPr>
    </w:p>
    <w:p w14:paraId="080AACC8"/>
    <w:p w14:paraId="492CF039"/>
    <w:p w14:paraId="2441ABDB"/>
    <w:p w14:paraId="70283D4C"/>
    <w:p w14:paraId="30EA13C9"/>
    <w:p w14:paraId="02702374"/>
    <w:p w14:paraId="403E9229"/>
    <w:p w14:paraId="0003CF81"/>
    <w:p w14:paraId="074DD277">
      <w:pPr>
        <w:rPr>
          <w:rFonts w:hint="eastAsia"/>
        </w:rPr>
      </w:pPr>
    </w:p>
    <w:p w14:paraId="73B32CEC">
      <w:pPr>
        <w:rPr>
          <w:rFonts w:hint="eastAsia"/>
        </w:rPr>
      </w:pPr>
    </w:p>
    <w:p w14:paraId="3B29CAF7"/>
    <w:tbl>
      <w:tblPr>
        <w:tblStyle w:val="8"/>
        <w:tblW w:w="0" w:type="auto"/>
        <w:jc w:val="center"/>
        <w:tblLayout w:type="autofit"/>
        <w:tblCellMar>
          <w:top w:w="0" w:type="dxa"/>
          <w:left w:w="108" w:type="dxa"/>
          <w:bottom w:w="0" w:type="dxa"/>
          <w:right w:w="108" w:type="dxa"/>
        </w:tblCellMar>
      </w:tblPr>
      <w:tblGrid>
        <w:gridCol w:w="1536"/>
        <w:gridCol w:w="3763"/>
      </w:tblGrid>
      <w:tr w14:paraId="45097FBB">
        <w:tblPrEx>
          <w:tblCellMar>
            <w:top w:w="0" w:type="dxa"/>
            <w:left w:w="108" w:type="dxa"/>
            <w:bottom w:w="0" w:type="dxa"/>
            <w:right w:w="108" w:type="dxa"/>
          </w:tblCellMar>
        </w:tblPrEx>
        <w:trPr>
          <w:wBefore w:w="0" w:type="dxa"/>
          <w:jc w:val="center"/>
        </w:trPr>
        <w:tc>
          <w:tcPr>
            <w:tcW w:w="1536" w:type="dxa"/>
            <w:shd w:val="clear" w:color="auto" w:fill="auto"/>
            <w:noWrap w:val="0"/>
            <w:vAlign w:val="center"/>
          </w:tcPr>
          <w:p w14:paraId="642ECF67">
            <w:pPr>
              <w:spacing w:line="480" w:lineRule="auto"/>
              <w:jc w:val="distribute"/>
              <w:rPr>
                <w:b/>
                <w:sz w:val="28"/>
              </w:rPr>
            </w:pPr>
            <w:r>
              <w:rPr>
                <w:rFonts w:hint="eastAsia"/>
                <w:b/>
                <w:sz w:val="28"/>
              </w:rPr>
              <w:t xml:space="preserve">学  </w:t>
            </w:r>
            <w:r>
              <w:rPr>
                <w:b/>
                <w:sz w:val="28"/>
              </w:rPr>
              <w:t xml:space="preserve">  </w:t>
            </w:r>
            <w:r>
              <w:rPr>
                <w:rFonts w:hint="eastAsia"/>
                <w:b/>
                <w:sz w:val="28"/>
              </w:rPr>
              <w:t>院：</w:t>
            </w:r>
          </w:p>
        </w:tc>
        <w:tc>
          <w:tcPr>
            <w:tcW w:w="3763" w:type="dxa"/>
            <w:tcBorders>
              <w:bottom w:val="single" w:color="auto" w:sz="4" w:space="0"/>
            </w:tcBorders>
            <w:shd w:val="clear" w:color="auto" w:fill="auto"/>
            <w:noWrap w:val="0"/>
            <w:vAlign w:val="top"/>
          </w:tcPr>
          <w:p w14:paraId="415DDAD7">
            <w:pPr>
              <w:spacing w:line="480" w:lineRule="auto"/>
              <w:jc w:val="center"/>
              <w:rPr>
                <w:rFonts w:hint="default" w:eastAsia="宋体"/>
                <w:sz w:val="28"/>
                <w:lang w:val="en-US" w:eastAsia="zh-CN"/>
              </w:rPr>
            </w:pPr>
            <w:r>
              <w:rPr>
                <w:rFonts w:hint="eastAsia"/>
                <w:sz w:val="28"/>
                <w:lang w:val="en-US" w:eastAsia="zh-CN"/>
              </w:rPr>
              <w:t>计算机科学与工程学院</w:t>
            </w:r>
          </w:p>
        </w:tc>
      </w:tr>
      <w:tr w14:paraId="729B85E9">
        <w:tblPrEx>
          <w:tblCellMar>
            <w:top w:w="0" w:type="dxa"/>
            <w:left w:w="108" w:type="dxa"/>
            <w:bottom w:w="0" w:type="dxa"/>
            <w:right w:w="108" w:type="dxa"/>
          </w:tblCellMar>
        </w:tblPrEx>
        <w:trPr>
          <w:wBefore w:w="0" w:type="dxa"/>
          <w:jc w:val="center"/>
        </w:trPr>
        <w:tc>
          <w:tcPr>
            <w:tcW w:w="1536" w:type="dxa"/>
            <w:shd w:val="clear" w:color="auto" w:fill="auto"/>
            <w:noWrap w:val="0"/>
            <w:vAlign w:val="center"/>
          </w:tcPr>
          <w:p w14:paraId="3C2702E7">
            <w:pPr>
              <w:spacing w:line="480" w:lineRule="auto"/>
              <w:jc w:val="distribute"/>
              <w:rPr>
                <w:b/>
                <w:sz w:val="28"/>
              </w:rPr>
            </w:pPr>
            <w:r>
              <w:rPr>
                <w:rFonts w:hint="eastAsia"/>
                <w:b/>
                <w:sz w:val="28"/>
              </w:rPr>
              <w:t xml:space="preserve">专  </w:t>
            </w:r>
            <w:r>
              <w:rPr>
                <w:b/>
                <w:sz w:val="28"/>
              </w:rPr>
              <w:t xml:space="preserve"> </w:t>
            </w:r>
            <w:r>
              <w:rPr>
                <w:rFonts w:hint="eastAsia"/>
                <w:b/>
                <w:sz w:val="28"/>
              </w:rPr>
              <w:t xml:space="preserve"> 业：</w:t>
            </w:r>
          </w:p>
        </w:tc>
        <w:tc>
          <w:tcPr>
            <w:tcW w:w="3763" w:type="dxa"/>
            <w:tcBorders>
              <w:top w:val="single" w:color="auto" w:sz="4" w:space="0"/>
              <w:bottom w:val="single" w:color="auto" w:sz="4" w:space="0"/>
            </w:tcBorders>
            <w:shd w:val="clear" w:color="auto" w:fill="auto"/>
            <w:noWrap w:val="0"/>
            <w:vAlign w:val="top"/>
          </w:tcPr>
          <w:p w14:paraId="0BB7D465">
            <w:pPr>
              <w:spacing w:line="480" w:lineRule="auto"/>
              <w:jc w:val="center"/>
              <w:rPr>
                <w:rFonts w:hint="default" w:eastAsia="宋体"/>
                <w:sz w:val="28"/>
                <w:lang w:val="en-US" w:eastAsia="zh-CN"/>
              </w:rPr>
            </w:pPr>
            <w:r>
              <w:rPr>
                <w:rFonts w:hint="eastAsia"/>
                <w:sz w:val="28"/>
                <w:lang w:val="en-US" w:eastAsia="zh-CN"/>
              </w:rPr>
              <w:t>计算机科学与技术</w:t>
            </w:r>
          </w:p>
        </w:tc>
      </w:tr>
      <w:tr w14:paraId="7DD1B1DE">
        <w:tblPrEx>
          <w:tblCellMar>
            <w:top w:w="0" w:type="dxa"/>
            <w:left w:w="108" w:type="dxa"/>
            <w:bottom w:w="0" w:type="dxa"/>
            <w:right w:w="108" w:type="dxa"/>
          </w:tblCellMar>
        </w:tblPrEx>
        <w:trPr>
          <w:wBefore w:w="0" w:type="dxa"/>
          <w:jc w:val="center"/>
        </w:trPr>
        <w:tc>
          <w:tcPr>
            <w:tcW w:w="1536" w:type="dxa"/>
            <w:shd w:val="clear" w:color="auto" w:fill="auto"/>
            <w:noWrap w:val="0"/>
            <w:vAlign w:val="center"/>
          </w:tcPr>
          <w:p w14:paraId="7C3215D5">
            <w:pPr>
              <w:spacing w:line="480" w:lineRule="auto"/>
              <w:jc w:val="distribute"/>
              <w:rPr>
                <w:b/>
                <w:sz w:val="28"/>
              </w:rPr>
            </w:pPr>
            <w:r>
              <w:rPr>
                <w:rFonts w:hint="eastAsia"/>
                <w:b/>
                <w:sz w:val="28"/>
              </w:rPr>
              <w:t>学生姓名：</w:t>
            </w:r>
          </w:p>
        </w:tc>
        <w:tc>
          <w:tcPr>
            <w:tcW w:w="3763" w:type="dxa"/>
            <w:tcBorders>
              <w:top w:val="single" w:color="auto" w:sz="4" w:space="0"/>
              <w:bottom w:val="single" w:color="auto" w:sz="4" w:space="0"/>
            </w:tcBorders>
            <w:shd w:val="clear" w:color="auto" w:fill="auto"/>
            <w:noWrap w:val="0"/>
            <w:vAlign w:val="top"/>
          </w:tcPr>
          <w:p w14:paraId="7C277B02">
            <w:pPr>
              <w:spacing w:line="480" w:lineRule="auto"/>
              <w:jc w:val="center"/>
              <w:rPr>
                <w:rFonts w:hint="default" w:eastAsia="宋体"/>
                <w:sz w:val="28"/>
                <w:lang w:val="en-US" w:eastAsia="zh-CN"/>
              </w:rPr>
            </w:pPr>
            <w:r>
              <w:rPr>
                <w:rFonts w:hint="eastAsia"/>
                <w:sz w:val="28"/>
                <w:lang w:val="en-US" w:eastAsia="zh-CN"/>
              </w:rPr>
              <w:t>凌荣烨</w:t>
            </w:r>
          </w:p>
        </w:tc>
      </w:tr>
      <w:tr w14:paraId="6D5FAC97">
        <w:tblPrEx>
          <w:tblCellMar>
            <w:top w:w="0" w:type="dxa"/>
            <w:left w:w="108" w:type="dxa"/>
            <w:bottom w:w="0" w:type="dxa"/>
            <w:right w:w="108" w:type="dxa"/>
          </w:tblCellMar>
        </w:tblPrEx>
        <w:trPr>
          <w:wBefore w:w="0" w:type="dxa"/>
          <w:jc w:val="center"/>
        </w:trPr>
        <w:tc>
          <w:tcPr>
            <w:tcW w:w="1536" w:type="dxa"/>
            <w:shd w:val="clear" w:color="auto" w:fill="auto"/>
            <w:noWrap w:val="0"/>
            <w:vAlign w:val="center"/>
          </w:tcPr>
          <w:p w14:paraId="62C7E729">
            <w:pPr>
              <w:spacing w:line="480" w:lineRule="auto"/>
              <w:jc w:val="distribute"/>
              <w:rPr>
                <w:b/>
                <w:sz w:val="28"/>
              </w:rPr>
            </w:pPr>
            <w:r>
              <w:rPr>
                <w:rFonts w:hint="eastAsia"/>
                <w:b/>
                <w:sz w:val="28"/>
              </w:rPr>
              <w:t>学生学号：</w:t>
            </w:r>
          </w:p>
        </w:tc>
        <w:tc>
          <w:tcPr>
            <w:tcW w:w="3763" w:type="dxa"/>
            <w:tcBorders>
              <w:top w:val="single" w:color="auto" w:sz="4" w:space="0"/>
              <w:bottom w:val="single" w:color="auto" w:sz="4" w:space="0"/>
            </w:tcBorders>
            <w:shd w:val="clear" w:color="auto" w:fill="auto"/>
            <w:noWrap w:val="0"/>
            <w:vAlign w:val="top"/>
          </w:tcPr>
          <w:p w14:paraId="4691F211">
            <w:pPr>
              <w:spacing w:line="480" w:lineRule="auto"/>
              <w:jc w:val="center"/>
              <w:rPr>
                <w:rFonts w:hint="default" w:eastAsia="宋体"/>
                <w:sz w:val="28"/>
                <w:lang w:val="en-US" w:eastAsia="zh-CN"/>
              </w:rPr>
            </w:pPr>
            <w:r>
              <w:rPr>
                <w:rFonts w:hint="eastAsia"/>
                <w:sz w:val="28"/>
                <w:lang w:val="en-US" w:eastAsia="zh-CN"/>
              </w:rPr>
              <w:t>202230040034</w:t>
            </w:r>
          </w:p>
        </w:tc>
      </w:tr>
      <w:tr w14:paraId="1B5767EC">
        <w:tblPrEx>
          <w:tblCellMar>
            <w:top w:w="0" w:type="dxa"/>
            <w:left w:w="108" w:type="dxa"/>
            <w:bottom w:w="0" w:type="dxa"/>
            <w:right w:w="108" w:type="dxa"/>
          </w:tblCellMar>
        </w:tblPrEx>
        <w:trPr>
          <w:wBefore w:w="0" w:type="dxa"/>
          <w:jc w:val="center"/>
        </w:trPr>
        <w:tc>
          <w:tcPr>
            <w:tcW w:w="1536" w:type="dxa"/>
            <w:shd w:val="clear" w:color="auto" w:fill="auto"/>
            <w:noWrap w:val="0"/>
            <w:vAlign w:val="center"/>
          </w:tcPr>
          <w:p w14:paraId="1D897596">
            <w:pPr>
              <w:spacing w:line="480" w:lineRule="auto"/>
              <w:jc w:val="distribute"/>
              <w:rPr>
                <w:b/>
                <w:sz w:val="28"/>
              </w:rPr>
            </w:pPr>
            <w:r>
              <w:rPr>
                <w:rFonts w:hint="eastAsia"/>
                <w:b/>
                <w:sz w:val="28"/>
              </w:rPr>
              <w:t>指导教师：</w:t>
            </w:r>
          </w:p>
        </w:tc>
        <w:tc>
          <w:tcPr>
            <w:tcW w:w="3763" w:type="dxa"/>
            <w:tcBorders>
              <w:top w:val="single" w:color="auto" w:sz="4" w:space="0"/>
              <w:bottom w:val="single" w:color="auto" w:sz="4" w:space="0"/>
            </w:tcBorders>
            <w:shd w:val="clear" w:color="auto" w:fill="auto"/>
            <w:noWrap w:val="0"/>
            <w:vAlign w:val="top"/>
          </w:tcPr>
          <w:p w14:paraId="72DE10F0">
            <w:pPr>
              <w:spacing w:line="480" w:lineRule="auto"/>
              <w:jc w:val="center"/>
              <w:rPr>
                <w:rFonts w:hint="default" w:eastAsia="宋体"/>
                <w:sz w:val="28"/>
                <w:lang w:val="en-US" w:eastAsia="zh-CN"/>
              </w:rPr>
            </w:pPr>
            <w:r>
              <w:rPr>
                <w:rFonts w:hint="eastAsia"/>
                <w:sz w:val="28"/>
                <w:lang w:val="en-US" w:eastAsia="zh-CN"/>
              </w:rPr>
              <w:t>张幸林</w:t>
            </w:r>
          </w:p>
        </w:tc>
      </w:tr>
    </w:tbl>
    <w:p w14:paraId="3E534FDF"/>
    <w:p w14:paraId="07ABBD79">
      <w:pPr>
        <w:sectPr>
          <w:footerReference r:id="rId3" w:type="default"/>
          <w:footerReference r:id="rId4" w:type="even"/>
          <w:pgSz w:w="11907" w:h="16840"/>
          <w:pgMar w:top="1701" w:right="1157" w:bottom="936" w:left="1440" w:header="851" w:footer="992" w:gutter="0"/>
          <w:cols w:space="425" w:num="1"/>
          <w:titlePg/>
          <w:docGrid w:type="lines" w:linePitch="312" w:charSpace="0"/>
        </w:sectPr>
      </w:pPr>
    </w:p>
    <w:p w14:paraId="740944D6">
      <w:pPr>
        <w:rPr>
          <w:rFonts w:hint="eastAsia"/>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7"/>
        <w:gridCol w:w="6521"/>
        <w:gridCol w:w="2188"/>
      </w:tblGrid>
      <w:tr w14:paraId="6AA1F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526" w:type="dxa"/>
            <w:gridSpan w:val="3"/>
            <w:noWrap w:val="0"/>
            <w:vAlign w:val="top"/>
          </w:tcPr>
          <w:p w14:paraId="15C0FF9A">
            <w:pPr>
              <w:numPr>
                <w:ilvl w:val="0"/>
                <w:numId w:val="1"/>
              </w:numPr>
              <w:spacing w:line="400" w:lineRule="exact"/>
              <w:rPr>
                <w:rFonts w:eastAsia="黑体"/>
                <w:b/>
                <w:bCs/>
                <w:sz w:val="32"/>
              </w:rPr>
            </w:pPr>
            <w:r>
              <w:rPr>
                <w:rFonts w:hint="eastAsia" w:eastAsia="黑体"/>
                <w:b/>
                <w:bCs/>
                <w:sz w:val="32"/>
              </w:rPr>
              <w:t>课题背景及意义</w:t>
            </w:r>
            <w:r>
              <w:rPr>
                <w:rFonts w:eastAsia="黑体"/>
                <w:b/>
                <w:bCs/>
                <w:sz w:val="32"/>
              </w:rPr>
              <w:t>（</w:t>
            </w:r>
            <w:r>
              <w:rPr>
                <w:rFonts w:hint="eastAsia" w:eastAsia="黑体"/>
                <w:b/>
                <w:bCs/>
                <w:sz w:val="32"/>
              </w:rPr>
              <w:t>含</w:t>
            </w:r>
            <w:r>
              <w:rPr>
                <w:rFonts w:eastAsia="黑体"/>
                <w:b/>
                <w:bCs/>
                <w:sz w:val="32"/>
              </w:rPr>
              <w:t>国内外研究现状综述）</w:t>
            </w:r>
          </w:p>
          <w:p w14:paraId="00000003">
            <w:pPr>
              <w:spacing w:line="400" w:lineRule="exact"/>
              <w:rPr>
                <w:rFonts w:hint="eastAsia" w:ascii="宋体" w:hAnsi="宋体" w:eastAsia="宋体" w:cs="宋体"/>
                <w:b/>
                <w:bCs w:val="0"/>
                <w:sz w:val="24"/>
              </w:rPr>
            </w:pPr>
            <w:r>
              <w:rPr>
                <w:rFonts w:hint="eastAsia" w:ascii="宋体" w:hAnsi="宋体" w:eastAsia="宋体" w:cs="宋体"/>
                <w:b/>
                <w:bCs w:val="0"/>
                <w:sz w:val="24"/>
                <w:rtl w:val="0"/>
              </w:rPr>
              <w:t>1.1 联邦学习的演进与跨域挑战</w:t>
            </w:r>
          </w:p>
          <w:p w14:paraId="00000004">
            <w:pPr>
              <w:spacing w:line="400" w:lineRule="exact"/>
              <w:ind w:firstLine="480" w:firstLineChars="200"/>
              <w:rPr>
                <w:rFonts w:hint="eastAsia" w:ascii="宋体" w:hAnsi="宋体" w:eastAsia="宋体" w:cs="宋体"/>
                <w:bCs/>
                <w:sz w:val="24"/>
              </w:rPr>
            </w:pPr>
            <w:r>
              <w:rPr>
                <w:rFonts w:hint="eastAsia" w:ascii="宋体" w:hAnsi="宋体" w:eastAsia="宋体" w:cs="宋体"/>
                <w:bCs/>
                <w:sz w:val="24"/>
                <w:rtl w:val="0"/>
              </w:rPr>
              <w:t>随着物联网设备与边缘计算的普及，海量数据分散在各个孤岛中。联邦学习</w:t>
            </w:r>
            <w:r>
              <w:rPr>
                <w:rFonts w:hint="default" w:ascii="Times New Roman" w:hAnsi="Times New Roman" w:eastAsia="宋体" w:cs="Times New Roman"/>
                <w:bCs/>
                <w:sz w:val="24"/>
                <w:rtl w:val="0"/>
              </w:rPr>
              <w:t>（Federated Learning, FL）</w:t>
            </w:r>
            <w:r>
              <w:rPr>
                <w:rFonts w:hint="eastAsia" w:ascii="宋体" w:hAnsi="宋体" w:eastAsia="宋体" w:cs="宋体"/>
                <w:bCs/>
                <w:sz w:val="24"/>
                <w:rtl w:val="0"/>
              </w:rPr>
              <w:t>作为一种隐私保护计算范式，允许各客户端在不共享原始数据的前提下协同训练全局模型。</w:t>
            </w:r>
          </w:p>
          <w:p w14:paraId="148EC028">
            <w:pPr>
              <w:spacing w:line="400" w:lineRule="exact"/>
              <w:ind w:firstLine="480" w:firstLineChars="200"/>
              <w:rPr>
                <w:rFonts w:hint="eastAsia" w:ascii="宋体" w:hAnsi="宋体" w:eastAsia="宋体" w:cs="宋体"/>
                <w:bCs/>
                <w:sz w:val="24"/>
                <w:rtl w:val="0"/>
              </w:rPr>
            </w:pPr>
            <w:r>
              <w:rPr>
                <w:rFonts w:hint="eastAsia" w:ascii="宋体" w:hAnsi="宋体" w:eastAsia="宋体" w:cs="宋体"/>
                <w:bCs/>
                <w:sz w:val="24"/>
                <w:rtl w:val="0"/>
              </w:rPr>
              <w:t>然而，联邦学习在实际落地中面临着严峻的非独立同分布挑战。现有的研究多聚焦于“标签倾斜”，即不同客户端拥有的类别分布不同（例如，医院A主要拥有感冒病例，医院B主要拥有骨折病例）。但在更复杂的跨设备或场景中，域偏移</w:t>
            </w:r>
            <w:r>
              <w:rPr>
                <w:rFonts w:hint="default" w:ascii="Times New Roman" w:hAnsi="Times New Roman" w:eastAsia="宋体" w:cs="Times New Roman"/>
                <w:bCs/>
                <w:sz w:val="24"/>
                <w:rtl w:val="0"/>
              </w:rPr>
              <w:t>（Domain Shift）</w:t>
            </w:r>
            <w:r>
              <w:rPr>
                <w:rFonts w:hint="eastAsia" w:ascii="宋体" w:hAnsi="宋体" w:eastAsia="宋体" w:cs="宋体"/>
                <w:bCs/>
                <w:sz w:val="24"/>
                <w:rtl w:val="0"/>
              </w:rPr>
              <w:t>或称特征倾斜</w:t>
            </w:r>
            <w:r>
              <w:rPr>
                <w:rFonts w:hint="eastAsia" w:ascii="Times New Roman" w:hAnsi="Times New Roman" w:eastAsia="宋体" w:cs="Times New Roman"/>
                <w:bCs/>
                <w:sz w:val="24"/>
                <w:rtl w:val="0"/>
              </w:rPr>
              <w:t>（Feature Skew）</w:t>
            </w:r>
            <w:r>
              <w:rPr>
                <w:rFonts w:hint="eastAsia" w:ascii="宋体" w:hAnsi="宋体" w:eastAsia="宋体" w:cs="宋体"/>
                <w:bCs/>
                <w:sz w:val="24"/>
                <w:rtl w:val="0"/>
              </w:rPr>
              <w:t>成为了制约模型性能的瓶颈。</w:t>
            </w:r>
          </w:p>
          <w:p w14:paraId="1BD4CF73">
            <w:pPr>
              <w:spacing w:line="400" w:lineRule="exact"/>
              <w:ind w:firstLine="480" w:firstLineChars="200"/>
              <w:rPr>
                <w:rFonts w:hint="eastAsia" w:ascii="宋体" w:hAnsi="宋体" w:eastAsia="宋体" w:cs="宋体"/>
                <w:bCs/>
                <w:sz w:val="24"/>
                <w:rtl w:val="0"/>
              </w:rPr>
            </w:pPr>
            <w:r>
              <w:rPr>
                <w:rFonts w:hint="eastAsia" w:ascii="宋体" w:hAnsi="宋体" w:eastAsia="宋体" w:cs="宋体"/>
                <w:bCs/>
                <w:sz w:val="24"/>
                <w:rtl w:val="0"/>
              </w:rPr>
              <w:t xml:space="preserve">域偏移指的是数据特征分布 </w:t>
            </w:r>
            <m:oMath>
              <m:r>
                <m:rPr/>
                <w:rPr>
                  <w:rFonts w:hint="default" w:ascii="Cambria Math" w:hAnsi="Cambria Math" w:eastAsia="宋体"/>
                  <w:sz w:val="24"/>
                </w:rPr>
                <m:t>P(x)</m:t>
              </m:r>
            </m:oMath>
            <w:r>
              <w:rPr>
                <w:rFonts w:hint="eastAsia" w:ascii="宋体" w:hAnsi="宋体" w:eastAsia="宋体" w:cs="宋体"/>
                <w:bCs/>
                <w:sz w:val="24"/>
                <w:rtl w:val="0"/>
              </w:rPr>
              <w:t xml:space="preserve"> 或条件分布 </w:t>
            </w:r>
            <m:oMath>
              <m:r>
                <m:rPr/>
                <w:rPr>
                  <w:rFonts w:hint="default" w:ascii="Cambria Math" w:hAnsi="Cambria Math" w:eastAsia="宋体"/>
                  <w:sz w:val="24"/>
                </w:rPr>
                <m:t>P(x|y)</m:t>
              </m:r>
            </m:oMath>
            <w:r>
              <w:rPr>
                <w:rFonts w:hint="eastAsia" w:ascii="宋体" w:hAnsi="宋体" w:eastAsia="宋体" w:cs="宋体"/>
                <w:bCs/>
                <w:sz w:val="24"/>
                <w:rtl w:val="0"/>
              </w:rPr>
              <w:t>在不同客户端之间存在显著差异。例如，在自动驾驶场景中，不同城市的车辆采集的道路图像受光照、天气、植被影响，尽管都在识别“行人”这一类别（</w:t>
            </w:r>
            <m:oMath>
              <m:r>
                <m:rPr/>
                <w:rPr>
                  <w:rFonts w:hint="default" w:ascii="Cambria Math" w:hAnsi="Cambria Math" w:eastAsia="宋体"/>
                  <w:sz w:val="24"/>
                </w:rPr>
                <m:t>y</m:t>
              </m:r>
            </m:oMath>
            <w:r>
              <w:rPr>
                <w:rFonts w:hint="eastAsia" w:ascii="宋体" w:hAnsi="宋体" w:eastAsia="宋体" w:cs="宋体"/>
                <w:bCs/>
                <w:sz w:val="24"/>
                <w:rtl w:val="0"/>
              </w:rPr>
              <w:t xml:space="preserve"> 相同），但其图像特征（</w:t>
            </w:r>
            <m:oMath>
              <m:r>
                <m:rPr/>
                <w:rPr>
                  <w:rFonts w:hint="default" w:ascii="Cambria Math" w:hAnsi="Cambria Math" w:eastAsia="宋体"/>
                  <w:sz w:val="24"/>
                </w:rPr>
                <m:t>x</m:t>
              </m:r>
            </m:oMath>
            <w:r>
              <w:rPr>
                <w:rFonts w:hint="eastAsia" w:ascii="宋体" w:hAnsi="宋体" w:eastAsia="宋体" w:cs="宋体"/>
                <w:bCs/>
                <w:sz w:val="24"/>
                <w:rtl w:val="0"/>
              </w:rPr>
              <w:t>）却大相径庭；又如在手写数字识别中，不同用户的笔迹风格、书写介质（纸张、平板）导致同一数字“5”的特征表达千差万别。</w:t>
            </w:r>
          </w:p>
          <w:p w14:paraId="779CEC58">
            <w:pPr>
              <w:spacing w:line="400" w:lineRule="exact"/>
              <w:ind w:firstLine="480" w:firstLineChars="200"/>
              <w:rPr>
                <w:rFonts w:hint="eastAsia" w:ascii="宋体" w:hAnsi="宋体" w:eastAsia="宋体" w:cs="宋体"/>
                <w:bCs/>
                <w:sz w:val="24"/>
                <w:rtl w:val="0"/>
              </w:rPr>
            </w:pPr>
            <w:r>
              <w:rPr>
                <w:rFonts w:hint="eastAsia" w:ascii="宋体" w:hAnsi="宋体" w:eastAsia="宋体" w:cs="宋体"/>
                <w:bCs/>
                <w:sz w:val="24"/>
                <w:rtl w:val="0"/>
              </w:rPr>
              <w:t xml:space="preserve">在域偏移场景下，传统的参数聚合方法（如 </w:t>
            </w:r>
            <w:r>
              <w:rPr>
                <w:rFonts w:hint="default" w:ascii="Times New Roman" w:hAnsi="Times New Roman" w:eastAsia="宋体" w:cs="Times New Roman"/>
                <w:bCs/>
                <w:sz w:val="24"/>
                <w:rtl w:val="0"/>
              </w:rPr>
              <w:t>FedAvg</w:t>
            </w:r>
            <w:r>
              <w:rPr>
                <w:rFonts w:hint="default" w:ascii="Times New Roman" w:hAnsi="Times New Roman" w:eastAsia="宋体" w:cs="Times New Roman"/>
                <w:bCs/>
                <w:sz w:val="24"/>
                <w:lang w:val="en-US"/>
              </w:rPr>
              <w:fldChar w:fldCharType="begin"/>
            </w:r>
            <w:r>
              <w:rPr>
                <w:rFonts w:hint="default" w:ascii="Times New Roman" w:hAnsi="Times New Roman" w:eastAsia="宋体" w:cs="Times New Roman"/>
                <w:bCs/>
                <w:sz w:val="24"/>
                <w:lang w:val="en-US"/>
              </w:rPr>
              <w:instrText xml:space="preserve"> REF _Ref23823 \r \h </w:instrText>
            </w:r>
            <w:r>
              <w:rPr>
                <w:rFonts w:hint="default" w:ascii="Times New Roman" w:hAnsi="Times New Roman" w:eastAsia="宋体" w:cs="Times New Roman"/>
                <w:bCs/>
                <w:sz w:val="24"/>
                <w:lang w:val="en-US"/>
              </w:rPr>
              <w:fldChar w:fldCharType="separate"/>
            </w:r>
            <w:r>
              <w:rPr>
                <w:rFonts w:hint="default" w:ascii="Times New Roman" w:hAnsi="Times New Roman" w:eastAsia="宋体" w:cs="Times New Roman"/>
                <w:bCs/>
                <w:sz w:val="24"/>
                <w:lang w:val="en-US"/>
              </w:rPr>
              <w:t>[1]</w:t>
            </w:r>
            <w:r>
              <w:rPr>
                <w:rFonts w:hint="default" w:ascii="Times New Roman" w:hAnsi="Times New Roman" w:eastAsia="宋体" w:cs="Times New Roman"/>
                <w:bCs/>
                <w:sz w:val="24"/>
                <w:lang w:val="en-US"/>
              </w:rPr>
              <w:fldChar w:fldCharType="end"/>
            </w:r>
            <w:r>
              <w:rPr>
                <w:rFonts w:hint="eastAsia" w:ascii="宋体" w:hAnsi="宋体" w:eastAsia="宋体" w:cs="宋体"/>
                <w:bCs/>
                <w:sz w:val="24"/>
                <w:rtl w:val="0"/>
              </w:rPr>
              <w:t>）面临严重的负迁移问题。由于各客户端在本地数据上训练得到的模型参数试图拟合各自独特的特征分布，这些参数所在的优化空间可能大相径庭。简单地对这些参数进行欧氏空间的平均，往往会导致全局模型收敛到一个</w:t>
            </w:r>
            <w:r>
              <w:rPr>
                <w:rFonts w:hint="eastAsia" w:ascii="宋体" w:hAnsi="宋体" w:eastAsia="宋体" w:cs="宋体"/>
                <w:bCs/>
                <w:sz w:val="24"/>
                <w:rtl w:val="0"/>
                <w:lang w:val="en-US" w:eastAsia="zh-CN"/>
              </w:rPr>
              <w:t>不好</w:t>
            </w:r>
            <w:r>
              <w:rPr>
                <w:rFonts w:hint="eastAsia" w:ascii="宋体" w:hAnsi="宋体" w:eastAsia="宋体" w:cs="宋体"/>
                <w:bCs/>
                <w:sz w:val="24"/>
                <w:rtl w:val="0"/>
              </w:rPr>
              <w:t>的解，既无法适配域A的特征，也无法适配域B的特征，最终导致全局模型在所有域上的泛化性能大幅下降。</w:t>
            </w:r>
          </w:p>
          <w:p w14:paraId="00000006">
            <w:pPr>
              <w:spacing w:line="400" w:lineRule="exact"/>
              <w:rPr>
                <w:rFonts w:hint="eastAsia" w:ascii="宋体" w:hAnsi="宋体" w:eastAsia="宋体" w:cs="宋体"/>
                <w:b/>
                <w:bCs w:val="0"/>
                <w:sz w:val="24"/>
              </w:rPr>
            </w:pPr>
            <w:r>
              <w:rPr>
                <w:rFonts w:hint="eastAsia" w:ascii="宋体" w:hAnsi="宋体" w:eastAsia="宋体" w:cs="宋体"/>
                <w:b/>
                <w:bCs w:val="0"/>
                <w:sz w:val="24"/>
                <w:rtl w:val="0"/>
              </w:rPr>
              <w:t>1.2 联邦原型学习的现状与瓶颈</w:t>
            </w:r>
          </w:p>
          <w:p w14:paraId="1ACDC245">
            <w:pPr>
              <w:spacing w:line="400" w:lineRule="exact"/>
              <w:ind w:firstLine="480" w:firstLineChars="200"/>
              <w:rPr>
                <w:rFonts w:hint="eastAsia" w:ascii="宋体" w:hAnsi="宋体" w:eastAsia="宋体" w:cs="宋体"/>
                <w:bCs/>
                <w:sz w:val="24"/>
                <w:rtl w:val="0"/>
              </w:rPr>
            </w:pPr>
            <w:r>
              <w:rPr>
                <w:rFonts w:hint="eastAsia" w:ascii="宋体" w:hAnsi="宋体" w:eastAsia="宋体" w:cs="宋体"/>
                <w:bCs/>
                <w:sz w:val="24"/>
                <w:rtl w:val="0"/>
              </w:rPr>
              <w:t>为了应对异构性，联邦原型学习应运而生。它通过传输类原型（即类特征均值）来代替梯度通信，具有通信高效、支持异构模型等优势。然而，现有的联邦原型方法（如</w:t>
            </w:r>
            <w:r>
              <w:rPr>
                <w:rFonts w:hint="eastAsia" w:ascii="Times New Roman" w:hAnsi="Times New Roman" w:eastAsia="宋体" w:cs="Times New Roman"/>
                <w:bCs/>
                <w:sz w:val="24"/>
                <w:rtl w:val="0"/>
              </w:rPr>
              <w:t xml:space="preserve"> FedProto</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_Ref24058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[3]</w:t>
            </w:r>
            <w:r>
              <w:rPr>
                <w:rFonts w:hint="eastAsia" w:ascii="Times New Roman" w:hAnsi="Times New Roman" w:eastAsia="宋体" w:cs="Times New Roman"/>
                <w:bCs/>
                <w:sz w:val="24"/>
                <w:lang w:eastAsia="zh-CN"/>
              </w:rPr>
              <w:fldChar w:fldCharType="end"/>
            </w:r>
            <w:r>
              <w:rPr>
                <w:rFonts w:hint="eastAsia" w:ascii="Times New Roman" w:hAnsi="Times New Roman" w:eastAsia="宋体" w:cs="Times New Roman"/>
                <w:bCs/>
                <w:sz w:val="24"/>
                <w:rtl w:val="0"/>
              </w:rPr>
              <w:t>, FPL</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_Ref24237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[4]</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）在处理强跨域数据时仍存在本质局限：</w:t>
            </w:r>
          </w:p>
          <w:p w14:paraId="00000008">
            <w:pPr>
              <w:numPr>
                <w:ilvl w:val="0"/>
                <w:numId w:val="2"/>
              </w:numPr>
              <w:spacing w:line="400" w:lineRule="exact"/>
              <w:ind w:left="840" w:leftChars="0" w:hanging="420" w:firstLineChars="0"/>
              <w:rPr>
                <w:rFonts w:hint="eastAsia" w:ascii="宋体" w:hAnsi="宋体" w:eastAsia="宋体" w:cs="宋体"/>
                <w:bCs/>
                <w:sz w:val="24"/>
              </w:rPr>
            </w:pPr>
            <w:r>
              <w:rPr>
                <w:rFonts w:hint="eastAsia" w:ascii="宋体" w:hAnsi="宋体" w:eastAsia="宋体" w:cs="宋体"/>
                <w:bCs/>
                <w:sz w:val="24"/>
                <w:rtl w:val="0"/>
              </w:rPr>
              <w:t>特征纠缠导致的语义模糊：现有方法通常直接对特征提取器的输出进行均值聚合。但在跨域数据中，特征往往是“语义内容”与“领域风格”的混合体。直接平均不同风格的特征（如将“素描”与“照片”强行平均），会产生物理意义不明的模糊原型，破坏了特征的判别力。</w:t>
            </w:r>
          </w:p>
          <w:p w14:paraId="00000009">
            <w:pPr>
              <w:numPr>
                <w:ilvl w:val="0"/>
                <w:numId w:val="2"/>
              </w:numPr>
              <w:spacing w:line="400" w:lineRule="exact"/>
              <w:ind w:left="840" w:leftChars="0" w:hanging="420" w:firstLineChars="0"/>
              <w:rPr>
                <w:rFonts w:hint="eastAsia" w:ascii="宋体" w:hAnsi="宋体" w:eastAsia="宋体" w:cs="宋体"/>
                <w:bCs/>
                <w:sz w:val="24"/>
              </w:rPr>
            </w:pPr>
            <w:r>
              <w:rPr>
                <w:rFonts w:hint="eastAsia" w:ascii="宋体" w:hAnsi="宋体" w:eastAsia="宋体" w:cs="宋体"/>
                <w:bCs/>
                <w:sz w:val="24"/>
                <w:rtl w:val="0"/>
              </w:rPr>
              <w:t xml:space="preserve">风格信息的浪费：现有方法多致力于“消除”或“压制”风格差异（如 </w:t>
            </w:r>
            <w:r>
              <w:rPr>
                <w:rFonts w:hint="default" w:ascii="Times New Roman" w:hAnsi="Times New Roman" w:eastAsia="宋体" w:cs="Times New Roman"/>
                <w:bCs/>
                <w:sz w:val="24"/>
                <w:rtl w:val="0"/>
              </w:rPr>
              <w:t>FedBN</w:t>
            </w:r>
            <w:r>
              <w:rPr>
                <w:rFonts w:hint="default" w:ascii="Times New Roman" w:hAnsi="Times New Roman" w:eastAsia="宋体" w:cs="Times New Roman"/>
                <w:bCs/>
                <w:sz w:val="24"/>
                <w:lang w:val="en-US"/>
              </w:rPr>
              <w:fldChar w:fldCharType="begin"/>
            </w:r>
            <w:r>
              <w:rPr>
                <w:rFonts w:hint="default" w:ascii="Times New Roman" w:hAnsi="Times New Roman" w:eastAsia="宋体" w:cs="Times New Roman"/>
                <w:bCs/>
                <w:sz w:val="24"/>
                <w:lang w:val="en-US"/>
              </w:rPr>
              <w:instrText xml:space="preserve"> REF _Ref24087 \r \h </w:instrText>
            </w:r>
            <w:r>
              <w:rPr>
                <w:rFonts w:hint="default" w:ascii="Times New Roman" w:hAnsi="Times New Roman" w:eastAsia="宋体" w:cs="Times New Roman"/>
                <w:bCs/>
                <w:sz w:val="24"/>
                <w:lang w:val="en-US"/>
              </w:rPr>
              <w:fldChar w:fldCharType="separate"/>
            </w:r>
            <w:r>
              <w:rPr>
                <w:rFonts w:hint="default" w:ascii="Times New Roman" w:hAnsi="Times New Roman" w:eastAsia="宋体" w:cs="Times New Roman"/>
                <w:bCs/>
                <w:sz w:val="24"/>
                <w:lang w:val="en-US"/>
              </w:rPr>
              <w:t>[2]</w:t>
            </w:r>
            <w:r>
              <w:rPr>
                <w:rFonts w:hint="default" w:ascii="Times New Roman" w:hAnsi="Times New Roman" w:eastAsia="宋体" w:cs="Times New Roman"/>
                <w:bCs/>
                <w:sz w:val="24"/>
                <w:lang w:val="en-US"/>
              </w:rPr>
              <w:fldChar w:fldCharType="end"/>
            </w:r>
            <w:r>
              <w:rPr>
                <w:rFonts w:hint="eastAsia" w:ascii="宋体" w:hAnsi="宋体" w:eastAsia="宋体" w:cs="宋体"/>
                <w:bCs/>
                <w:sz w:val="24"/>
                <w:rtl w:val="0"/>
              </w:rPr>
              <w:t xml:space="preserve">, </w:t>
            </w:r>
            <w:r>
              <w:rPr>
                <w:rFonts w:hint="eastAsia" w:ascii="Times New Roman" w:hAnsi="Times New Roman" w:eastAsia="宋体" w:cs="Times New Roman"/>
                <w:bCs/>
                <w:sz w:val="24"/>
                <w:rtl w:val="0"/>
              </w:rPr>
              <w:t>FDSE</w:t>
            </w:r>
            <w:r>
              <w:rPr>
                <w:rFonts w:hint="eastAsia" w:ascii="宋体" w:hAnsi="宋体" w:eastAsia="宋体" w:cs="宋体"/>
                <w:bCs/>
                <w:sz w:val="24"/>
                <w:rtl w:val="0"/>
              </w:rPr>
              <w:t>），将风格视为噪声。然而，风格本质上是数据的分布特征，若能被合理利用，可作为一种强大的数据增强资源来提升模型的泛化能力。</w:t>
            </w:r>
          </w:p>
          <w:p w14:paraId="0000000A">
            <w:pPr>
              <w:spacing w:line="400" w:lineRule="exact"/>
              <w:rPr>
                <w:rFonts w:hint="eastAsia" w:ascii="宋体" w:hAnsi="宋体" w:eastAsia="宋体" w:cs="宋体"/>
                <w:b/>
                <w:bCs w:val="0"/>
                <w:sz w:val="24"/>
              </w:rPr>
            </w:pPr>
            <w:r>
              <w:rPr>
                <w:rFonts w:hint="eastAsia" w:ascii="宋体" w:hAnsi="宋体" w:eastAsia="宋体" w:cs="宋体"/>
                <w:b/>
                <w:bCs w:val="0"/>
                <w:sz w:val="24"/>
                <w:rtl w:val="0"/>
              </w:rPr>
              <w:t>1.3 研究意义</w:t>
            </w:r>
          </w:p>
          <w:p w14:paraId="65EC9978">
            <w:pPr>
              <w:spacing w:line="400" w:lineRule="exact"/>
              <w:ind w:firstLine="480" w:firstLineChars="200"/>
              <w:rPr>
                <w:rFonts w:hint="default" w:ascii="宋体" w:hAnsi="宋体" w:eastAsia="宋体" w:cs="宋体"/>
                <w:bCs/>
                <w:sz w:val="24"/>
                <w:rtl w:val="0"/>
                <w:lang w:val="en-US" w:eastAsia="zh-CN"/>
              </w:rPr>
            </w:pPr>
            <w:r>
              <w:rPr>
                <w:rFonts w:hint="eastAsia" w:ascii="宋体" w:hAnsi="宋体" w:eastAsia="宋体" w:cs="宋体"/>
                <w:bCs/>
                <w:sz w:val="24"/>
                <w:rtl w:val="0"/>
              </w:rPr>
              <w:t>本课题拟提出一种基于显式几何正交的双头解耦与全局风格</w:t>
            </w:r>
            <w:r>
              <w:rPr>
                <w:rFonts w:hint="eastAsia" w:ascii="宋体" w:hAnsi="宋体" w:eastAsia="宋体" w:cs="宋体"/>
                <w:bCs/>
                <w:sz w:val="24"/>
                <w:rtl w:val="0"/>
                <w:lang w:eastAsia="zh-CN"/>
              </w:rPr>
              <w:t>仓库</w:t>
            </w:r>
            <w:r>
              <w:rPr>
                <w:rFonts w:hint="eastAsia" w:ascii="宋体" w:hAnsi="宋体" w:eastAsia="宋体" w:cs="宋体"/>
                <w:bCs/>
                <w:sz w:val="24"/>
                <w:rtl w:val="0"/>
              </w:rPr>
              <w:t>的新型联邦学习框架。通过构建独特的“双原型”表达，强制分离语义与风格</w:t>
            </w:r>
            <w:r>
              <w:rPr>
                <w:rFonts w:hint="eastAsia" w:ascii="宋体" w:hAnsi="宋体" w:eastAsia="宋体" w:cs="宋体"/>
                <w:bCs/>
                <w:sz w:val="24"/>
                <w:rtl w:val="0"/>
                <w:lang w:eastAsia="zh-CN"/>
              </w:rPr>
              <w:t>；</w:t>
            </w:r>
            <w:r>
              <w:rPr>
                <w:rFonts w:hint="eastAsia" w:ascii="宋体" w:hAnsi="宋体" w:eastAsia="宋体" w:cs="宋体"/>
                <w:bCs/>
                <w:sz w:val="24"/>
                <w:rtl w:val="0"/>
              </w:rPr>
              <w:t>建立全局风格</w:t>
            </w:r>
            <w:r>
              <w:rPr>
                <w:rFonts w:hint="eastAsia" w:ascii="宋体" w:hAnsi="宋体" w:eastAsia="宋体" w:cs="宋体"/>
                <w:bCs/>
                <w:sz w:val="24"/>
                <w:rtl w:val="0"/>
                <w:lang w:val="en-US" w:eastAsia="zh-CN"/>
              </w:rPr>
              <w:t>仓库</w:t>
            </w:r>
            <w:r>
              <w:rPr>
                <w:rFonts w:hint="eastAsia" w:ascii="宋体" w:hAnsi="宋体" w:eastAsia="宋体" w:cs="宋体"/>
                <w:bCs/>
                <w:sz w:val="24"/>
                <w:rtl w:val="0"/>
              </w:rPr>
              <w:t>，实现风格资源的跨域共享与增值；利用语义软对齐策略解决几何错位问题</w:t>
            </w:r>
            <w:r>
              <w:rPr>
                <w:rFonts w:hint="eastAsia" w:ascii="宋体" w:hAnsi="宋体" w:eastAsia="宋体" w:cs="宋体"/>
                <w:bCs/>
                <w:sz w:val="24"/>
                <w:rtl w:val="0"/>
                <w:lang w:eastAsia="zh-CN"/>
              </w:rPr>
              <w:t>，</w:t>
            </w:r>
            <w:r>
              <w:rPr>
                <w:rFonts w:hint="eastAsia" w:ascii="宋体" w:hAnsi="宋体" w:eastAsia="宋体" w:cs="宋体"/>
                <w:bCs/>
                <w:sz w:val="24"/>
                <w:rtl w:val="0"/>
                <w:lang w:val="en-US" w:eastAsia="zh-CN"/>
              </w:rPr>
              <w:t>最终实现</w:t>
            </w:r>
          </w:p>
          <w:p w14:paraId="0000000D">
            <w:pPr>
              <w:spacing w:line="400" w:lineRule="exact"/>
              <w:rPr>
                <w:rFonts w:hint="eastAsia" w:ascii="宋体" w:hAnsi="宋体" w:eastAsia="宋体" w:cs="宋体"/>
                <w:b/>
                <w:bCs w:val="0"/>
                <w:sz w:val="24"/>
              </w:rPr>
            </w:pPr>
            <w:r>
              <w:rPr>
                <w:rFonts w:hint="eastAsia" w:ascii="宋体" w:hAnsi="宋体" w:eastAsia="宋体" w:cs="宋体"/>
                <w:b/>
                <w:bCs w:val="0"/>
                <w:sz w:val="24"/>
                <w:rtl w:val="0"/>
                <w:lang w:val="en-US" w:eastAsia="zh-CN"/>
              </w:rPr>
              <w:t>1.4</w:t>
            </w:r>
            <w:r>
              <w:rPr>
                <w:rFonts w:hint="eastAsia" w:ascii="宋体" w:hAnsi="宋体" w:eastAsia="宋体" w:cs="宋体"/>
                <w:b/>
                <w:bCs w:val="0"/>
                <w:sz w:val="24"/>
                <w:rtl w:val="0"/>
              </w:rPr>
              <w:t xml:space="preserve"> 国内外研究现状综述</w:t>
            </w:r>
          </w:p>
          <w:p w14:paraId="0000000E">
            <w:pPr>
              <w:spacing w:line="400" w:lineRule="exact"/>
              <w:ind w:firstLine="480" w:firstLineChars="200"/>
              <w:rPr>
                <w:rFonts w:hint="eastAsia" w:ascii="宋体" w:hAnsi="宋体" w:eastAsia="宋体" w:cs="宋体"/>
                <w:bCs/>
                <w:sz w:val="24"/>
              </w:rPr>
            </w:pPr>
            <w:r>
              <w:rPr>
                <w:rFonts w:hint="eastAsia" w:ascii="宋体" w:hAnsi="宋体" w:eastAsia="宋体" w:cs="宋体"/>
                <w:bCs/>
                <w:sz w:val="24"/>
                <w:rtl w:val="0"/>
              </w:rPr>
              <w:t>近年来，学术界围绕跨域联邦学习中的特征异构问题展开了深入探索，主要集中在原型修正、特征解耦与域适应三个维度。</w:t>
            </w:r>
          </w:p>
          <w:p w14:paraId="0000000F">
            <w:pPr>
              <w:spacing w:line="400" w:lineRule="exact"/>
              <w:ind w:firstLine="480" w:firstLineChars="200"/>
              <w:rPr>
                <w:rFonts w:hint="eastAsia" w:ascii="宋体" w:hAnsi="宋体" w:eastAsia="宋体" w:cs="宋体"/>
                <w:bCs/>
                <w:sz w:val="24"/>
              </w:rPr>
            </w:pPr>
            <w:r>
              <w:rPr>
                <w:rFonts w:hint="eastAsia" w:ascii="宋体" w:hAnsi="宋体" w:eastAsia="宋体" w:cs="宋体"/>
                <w:bCs/>
                <w:sz w:val="24"/>
                <w:rtl w:val="0"/>
              </w:rPr>
              <w:t>在原型学习的基础架构方面，</w:t>
            </w:r>
            <w:r>
              <w:rPr>
                <w:rFonts w:hint="eastAsia" w:ascii="Times New Roman" w:hAnsi="Times New Roman" w:eastAsia="宋体" w:cs="Times New Roman"/>
                <w:bCs/>
                <w:sz w:val="24"/>
                <w:rtl w:val="0"/>
              </w:rPr>
              <w:t xml:space="preserve">FedProto </w:t>
            </w:r>
            <w:r>
              <w:rPr>
                <w:rFonts w:hint="eastAsia" w:ascii="宋体" w:hAnsi="宋体" w:eastAsia="宋体" w:cs="宋体"/>
                <w:bCs/>
                <w:sz w:val="24"/>
                <w:rtl w:val="0"/>
              </w:rPr>
              <w:t>率先提出了利用类原型进行通信的框架，有效降低了通信开销并支持异构模型，但其简单的欧氏平均策略在强跨域场景下容易导致语义漂移。针对单一原型的局限性，</w:t>
            </w:r>
            <w:r>
              <w:rPr>
                <w:rFonts w:hint="eastAsia" w:ascii="Times New Roman" w:hAnsi="Times New Roman" w:eastAsia="宋体" w:cs="Times New Roman"/>
                <w:bCs/>
                <w:sz w:val="24"/>
                <w:rtl w:val="0"/>
              </w:rPr>
              <w:t>FPL</w:t>
            </w:r>
            <w:r>
              <w:rPr>
                <w:rFonts w:hint="eastAsia" w:ascii="宋体" w:hAnsi="宋体" w:eastAsia="宋体" w:cs="宋体"/>
                <w:bCs/>
                <w:sz w:val="24"/>
                <w:rtl w:val="0"/>
              </w:rPr>
              <w:t>引入了聚类原型和无偏原型的概念，试图通过多中心聚类来捕捉数据的多模态分布；</w:t>
            </w:r>
            <w:r>
              <w:rPr>
                <w:rFonts w:hint="eastAsia" w:ascii="Times New Roman" w:hAnsi="Times New Roman" w:eastAsia="宋体" w:cs="Times New Roman"/>
                <w:bCs/>
                <w:sz w:val="24"/>
                <w:rtl w:val="0"/>
              </w:rPr>
              <w:t>MP-FedCL</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_Ref24375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[10]</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和 </w:t>
            </w:r>
            <w:r>
              <w:rPr>
                <w:rFonts w:hint="eastAsia" w:ascii="Times New Roman" w:hAnsi="Times New Roman" w:eastAsia="宋体" w:cs="Times New Roman"/>
                <w:bCs/>
                <w:sz w:val="24"/>
                <w:rtl w:val="0"/>
              </w:rPr>
              <w:t>FedPLVM</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_Ref24522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[11]</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进一步发展了这一思路，通过本地与全局的双层聚类机制及稀疏性约束，增强了模型对复杂分布的适应能力。然而，这些方法大多仍基于混合特征进行聚类，未能从根本上解决语义与风格的纠缠问题，导致全局模型在面对未知域时泛化能力有限。</w:t>
            </w:r>
          </w:p>
          <w:p w14:paraId="00000010">
            <w:pPr>
              <w:spacing w:line="400" w:lineRule="exact"/>
              <w:ind w:firstLine="480" w:firstLineChars="200"/>
              <w:rPr>
                <w:rFonts w:hint="eastAsia" w:ascii="宋体" w:hAnsi="宋体" w:eastAsia="宋体" w:cs="宋体"/>
                <w:bCs/>
                <w:sz w:val="24"/>
              </w:rPr>
            </w:pPr>
            <w:r>
              <w:rPr>
                <w:rFonts w:hint="eastAsia" w:ascii="宋体" w:hAnsi="宋体" w:eastAsia="宋体" w:cs="宋体"/>
                <w:bCs/>
                <w:sz w:val="24"/>
                <w:rtl w:val="0"/>
              </w:rPr>
              <w:t>在特征解耦与风格处理方面，研究者们尝试将特征分离为“域不变”与“域特定”两部分。</w:t>
            </w:r>
            <w:r>
              <w:rPr>
                <w:rFonts w:hint="eastAsia" w:ascii="Times New Roman" w:hAnsi="Times New Roman" w:eastAsia="宋体" w:cs="Times New Roman"/>
                <w:bCs/>
                <w:sz w:val="24"/>
                <w:rtl w:val="0"/>
              </w:rPr>
              <w:t>FedFSL-CFRD</w:t>
            </w:r>
            <w:r>
              <w:rPr>
                <w:rFonts w:hint="eastAsia" w:ascii="宋体" w:hAnsi="宋体" w:eastAsia="宋体" w:cs="宋体"/>
                <w:bCs/>
                <w:sz w:val="24"/>
                <w:rtl w:val="0"/>
              </w:rPr>
              <w:t xml:space="preserve"> </w:t>
            </w:r>
            <w:r>
              <w:rPr>
                <w:rFonts w:hint="eastAsia" w:ascii="宋体" w:hAnsi="宋体" w:eastAsia="宋体" w:cs="宋体"/>
                <w:bCs/>
                <w:sz w:val="24"/>
                <w:lang w:eastAsia="zh-CN"/>
              </w:rPr>
              <w:fldChar w:fldCharType="begin"/>
            </w:r>
            <w:r>
              <w:rPr>
                <w:rFonts w:hint="eastAsia" w:ascii="宋体" w:hAnsi="宋体" w:eastAsia="宋体" w:cs="宋体"/>
                <w:bCs/>
                <w:sz w:val="24"/>
                <w:lang w:eastAsia="zh-CN"/>
              </w:rPr>
              <w:instrText xml:space="preserve"> REF _Ref24691 \r \h </w:instrText>
            </w:r>
            <w:r>
              <w:rPr>
                <w:rFonts w:hint="eastAsia" w:ascii="宋体" w:hAnsi="宋体" w:eastAsia="宋体" w:cs="宋体"/>
                <w:bCs/>
                <w:sz w:val="24"/>
                <w:lang w:eastAsia="zh-CN"/>
              </w:rPr>
              <w:fldChar w:fldCharType="separate"/>
            </w:r>
            <w:r>
              <w:rPr>
                <w:rFonts w:hint="eastAsia" w:ascii="宋体" w:hAnsi="宋体" w:eastAsia="宋体" w:cs="宋体"/>
                <w:bCs/>
                <w:sz w:val="24"/>
                <w:lang w:eastAsia="zh-CN"/>
              </w:rPr>
              <w:t>[6]</w:t>
            </w:r>
            <w:r>
              <w:rPr>
                <w:rFonts w:hint="eastAsia" w:ascii="宋体" w:hAnsi="宋体" w:eastAsia="宋体" w:cs="宋体"/>
                <w:bCs/>
                <w:sz w:val="24"/>
                <w:lang w:eastAsia="zh-CN"/>
              </w:rPr>
              <w:fldChar w:fldCharType="end"/>
            </w:r>
            <w:r>
              <w:rPr>
                <w:rFonts w:hint="eastAsia" w:ascii="宋体" w:hAnsi="宋体" w:eastAsia="宋体" w:cs="宋体"/>
                <w:bCs/>
                <w:sz w:val="24"/>
                <w:rtl w:val="0"/>
              </w:rPr>
              <w:t>在少样本场景下，利用协同重构机制隐式地分离特征；</w:t>
            </w:r>
            <w:r>
              <w:rPr>
                <w:rFonts w:hint="eastAsia" w:ascii="Times New Roman" w:hAnsi="Times New Roman" w:eastAsia="宋体" w:cs="Times New Roman"/>
                <w:bCs/>
                <w:sz w:val="24"/>
                <w:rtl w:val="0"/>
              </w:rPr>
              <w:t>FDSE (Domain Shift Eraser)</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_Ref24783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[7]</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则采用了一种“提取-擦除”的迭代架构，试图通过专门的模块消除域偏差。</w:t>
            </w:r>
            <w:r>
              <w:rPr>
                <w:rFonts w:hint="eastAsia" w:ascii="Times New Roman" w:hAnsi="Times New Roman" w:eastAsia="宋体" w:cs="Times New Roman"/>
                <w:bCs/>
                <w:sz w:val="24"/>
                <w:rtl w:val="0"/>
              </w:rPr>
              <w:t>FedSTAR</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_Ref24959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[12]</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提出了一种结构与风格分离的 </w:t>
            </w:r>
            <w:r>
              <w:rPr>
                <w:rFonts w:hint="eastAsia" w:ascii="Times New Roman" w:hAnsi="Times New Roman" w:eastAsia="宋体" w:cs="Times New Roman"/>
                <w:bCs/>
                <w:sz w:val="24"/>
                <w:rtl w:val="0"/>
              </w:rPr>
              <w:t>Transformer</w:t>
            </w:r>
            <w:r>
              <w:rPr>
                <w:rFonts w:hint="eastAsia" w:ascii="宋体" w:hAnsi="宋体" w:eastAsia="宋体" w:cs="宋体"/>
                <w:bCs/>
                <w:sz w:val="24"/>
                <w:rtl w:val="0"/>
              </w:rPr>
              <w:t xml:space="preserve"> 架构，利用 </w:t>
            </w:r>
            <w:r>
              <w:rPr>
                <w:rFonts w:hint="eastAsia" w:ascii="Times New Roman" w:hAnsi="Times New Roman" w:eastAsia="宋体" w:cs="Times New Roman"/>
                <w:bCs/>
                <w:sz w:val="24"/>
                <w:rtl w:val="0"/>
              </w:rPr>
              <w:t>StyleFiLM</w:t>
            </w:r>
            <w:r>
              <w:rPr>
                <w:rFonts w:hint="eastAsia" w:ascii="宋体" w:hAnsi="宋体" w:eastAsia="宋体" w:cs="宋体"/>
                <w:bCs/>
                <w:sz w:val="24"/>
                <w:rtl w:val="0"/>
              </w:rPr>
              <w:t xml:space="preserve"> 技术在本地融合风格，这与本课题的思路较为接近。但 </w:t>
            </w:r>
            <w:r>
              <w:rPr>
                <w:rFonts w:hint="eastAsia" w:ascii="Times New Roman" w:hAnsi="Times New Roman" w:eastAsia="宋体" w:cs="Times New Roman"/>
                <w:bCs/>
                <w:sz w:val="24"/>
                <w:rtl w:val="0"/>
              </w:rPr>
              <w:t>FedSTAR</w:t>
            </w:r>
            <w:r>
              <w:rPr>
                <w:rFonts w:hint="eastAsia" w:ascii="宋体" w:hAnsi="宋体" w:eastAsia="宋体" w:cs="宋体"/>
                <w:bCs/>
                <w:sz w:val="24"/>
                <w:rtl w:val="0"/>
              </w:rPr>
              <w:t xml:space="preserve"> 将风格严格限制在本地，仅仅作为一种辅助校准手段，忽略了风格作为一种数据资产在跨域增强中的巨大潜力。此外，</w:t>
            </w:r>
            <w:r>
              <w:rPr>
                <w:rFonts w:hint="eastAsia" w:ascii="Times New Roman" w:hAnsi="Times New Roman" w:eastAsia="宋体" w:cs="Times New Roman"/>
                <w:bCs/>
                <w:sz w:val="24"/>
                <w:rtl w:val="0"/>
              </w:rPr>
              <w:t>FedPall</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_Ref24874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[8]</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尝试引入对抗学习来对齐特征空间，虽然在一定程度上缓解了漂移，但对抗训练在联邦环境下的不稳定性及潜在的隐私风险限制了其应用。</w:t>
            </w:r>
          </w:p>
          <w:p w14:paraId="00000011">
            <w:pPr>
              <w:spacing w:line="400" w:lineRule="exact"/>
              <w:ind w:firstLine="480" w:firstLineChars="200"/>
              <w:rPr>
                <w:rFonts w:hint="eastAsia" w:ascii="宋体" w:hAnsi="宋体" w:eastAsia="宋体" w:cs="宋体"/>
                <w:bCs/>
                <w:sz w:val="24"/>
              </w:rPr>
            </w:pPr>
            <w:r>
              <w:rPr>
                <w:rFonts w:hint="eastAsia" w:ascii="宋体" w:hAnsi="宋体" w:eastAsia="宋体" w:cs="宋体"/>
                <w:bCs/>
                <w:sz w:val="24"/>
                <w:rtl w:val="0"/>
              </w:rPr>
              <w:t>在对齐与正则化策略方面，</w:t>
            </w:r>
            <w:r>
              <w:rPr>
                <w:rFonts w:hint="eastAsia" w:ascii="Times New Roman" w:hAnsi="Times New Roman" w:eastAsia="宋体" w:cs="Times New Roman"/>
                <w:bCs/>
                <w:sz w:val="24"/>
                <w:rtl w:val="0"/>
              </w:rPr>
              <w:t>I2PFL</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_Ref25625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[9]</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探索了域内与域间原型的结合，并利用 </w:t>
            </w:r>
            <w:r>
              <w:rPr>
                <w:rFonts w:hint="eastAsia" w:ascii="Times New Roman" w:hAnsi="Times New Roman" w:eastAsia="宋体" w:cs="Times New Roman"/>
                <w:bCs/>
                <w:sz w:val="24"/>
                <w:rtl w:val="0"/>
              </w:rPr>
              <w:t>MixUp</w:t>
            </w:r>
            <w:r>
              <w:rPr>
                <w:rFonts w:hint="eastAsia" w:ascii="宋体" w:hAnsi="宋体" w:eastAsia="宋体" w:cs="宋体"/>
                <w:bCs/>
                <w:sz w:val="24"/>
                <w:rtl w:val="0"/>
              </w:rPr>
              <w:t xml:space="preserve"> 进行增强；</w:t>
            </w:r>
            <w:r>
              <w:rPr>
                <w:rFonts w:hint="eastAsia" w:ascii="Times New Roman" w:hAnsi="Times New Roman" w:eastAsia="宋体" w:cs="Times New Roman"/>
                <w:bCs/>
                <w:sz w:val="24"/>
                <w:rtl w:val="0"/>
              </w:rPr>
              <w:t>FedLSA</w:t>
            </w:r>
            <w:r>
              <w:rPr>
                <w:rFonts w:hint="eastAsia" w:ascii="Times New Roman" w:hAnsi="Times New Roman" w:eastAsia="宋体" w:cs="Times New Roman"/>
                <w:bCs/>
                <w:sz w:val="24"/>
                <w:lang w:eastAsia="zh-CN"/>
              </w:rPr>
              <w:fldChar w:fldCharType="begin"/>
            </w:r>
            <w:r>
              <w:rPr>
                <w:rFonts w:hint="eastAsia" w:ascii="Times New Roman" w:hAnsi="Times New Roman" w:eastAsia="宋体" w:cs="Times New Roman"/>
                <w:bCs/>
                <w:sz w:val="24"/>
                <w:lang w:eastAsia="zh-CN"/>
              </w:rPr>
              <w:instrText xml:space="preserve"> REF _Ref25181 \r \h </w:instrText>
            </w:r>
            <w:r>
              <w:rPr>
                <w:rFonts w:hint="eastAsia" w:ascii="Times New Roman" w:hAnsi="Times New Roman" w:eastAsia="宋体" w:cs="Times New Roman"/>
                <w:bCs/>
                <w:sz w:val="24"/>
                <w:lang w:eastAsia="zh-CN"/>
              </w:rPr>
              <w:fldChar w:fldCharType="separate"/>
            </w:r>
            <w:r>
              <w:rPr>
                <w:rFonts w:hint="eastAsia" w:ascii="Times New Roman" w:hAnsi="Times New Roman" w:eastAsia="宋体" w:cs="Times New Roman"/>
                <w:bCs/>
                <w:sz w:val="24"/>
                <w:lang w:eastAsia="zh-CN"/>
              </w:rPr>
              <w:t>[5]</w:t>
            </w:r>
            <w:r>
              <w:rPr>
                <w:rFonts w:hint="eastAsia" w:ascii="Times New Roman" w:hAnsi="Times New Roman" w:eastAsia="宋体" w:cs="Times New Roman"/>
                <w:bCs/>
                <w:sz w:val="24"/>
                <w:lang w:eastAsia="zh-CN"/>
              </w:rPr>
              <w:fldChar w:fldCharType="end"/>
            </w:r>
            <w:r>
              <w:rPr>
                <w:rFonts w:hint="eastAsia" w:ascii="宋体" w:hAnsi="宋体" w:eastAsia="宋体" w:cs="宋体"/>
                <w:bCs/>
                <w:sz w:val="24"/>
                <w:rtl w:val="0"/>
              </w:rPr>
              <w:t xml:space="preserve"> 则引入了可学习的语义锚点与超球面对比损失，试图在更紧凑的几何空间内实现特征对齐。这些工作为本研究提供了宝贵的思路，即单纯的硬性对齐（如 </w:t>
            </w:r>
            <w:r>
              <w:rPr>
                <w:rFonts w:hint="eastAsia" w:ascii="Times New Roman" w:hAnsi="Times New Roman" w:eastAsia="宋体" w:cs="Times New Roman"/>
                <w:bCs/>
                <w:sz w:val="24"/>
                <w:rtl w:val="0"/>
              </w:rPr>
              <w:t>MSE</w:t>
            </w:r>
            <w:r>
              <w:rPr>
                <w:rFonts w:hint="eastAsia" w:ascii="宋体" w:hAnsi="宋体" w:eastAsia="宋体" w:cs="宋体"/>
                <w:bCs/>
                <w:sz w:val="24"/>
                <w:rtl w:val="0"/>
              </w:rPr>
              <w:t xml:space="preserve"> 损失）可能会破坏本地流形，而基于对比学习的软性约束可能更适合异构场景。</w:t>
            </w:r>
          </w:p>
          <w:p w14:paraId="00000012">
            <w:pPr>
              <w:spacing w:line="400" w:lineRule="exact"/>
              <w:rPr>
                <w:rFonts w:hint="eastAsia" w:ascii="宋体" w:hAnsi="宋体" w:eastAsia="宋体" w:cs="宋体"/>
                <w:bCs/>
                <w:sz w:val="24"/>
              </w:rPr>
            </w:pPr>
            <w:r>
              <w:rPr>
                <w:rFonts w:hint="eastAsia" w:ascii="宋体" w:hAnsi="宋体" w:eastAsia="宋体" w:cs="宋体"/>
                <w:bCs/>
                <w:sz w:val="24"/>
                <w:rtl w:val="0"/>
              </w:rPr>
              <w:t>综上所述，现有研究虽然在一定程度上缓解了异构性挑战，但仍存在解耦不彻底（依赖隐式重构或复杂对抗）、风格资源</w:t>
            </w:r>
            <w:r>
              <w:rPr>
                <w:rFonts w:hint="eastAsia" w:ascii="宋体" w:hAnsi="宋体" w:eastAsia="宋体" w:cs="宋体"/>
                <w:bCs/>
                <w:sz w:val="24"/>
                <w:rtl w:val="0"/>
                <w:lang w:val="en-US" w:eastAsia="zh-CN"/>
              </w:rPr>
              <w:t>利用不充分</w:t>
            </w:r>
            <w:r>
              <w:rPr>
                <w:rFonts w:hint="eastAsia" w:ascii="宋体" w:hAnsi="宋体" w:eastAsia="宋体" w:cs="宋体"/>
                <w:bCs/>
                <w:sz w:val="24"/>
                <w:rtl w:val="0"/>
              </w:rPr>
              <w:t>（风格仅本地私有）等问题。本课题将在上述研究基础上，通过显式几何约束和风格资产化机制，探索一条更为高效、鲁棒的解决路径。</w:t>
            </w:r>
          </w:p>
          <w:p w14:paraId="62445031">
            <w:pPr>
              <w:spacing w:line="400" w:lineRule="exact"/>
              <w:rPr>
                <w:rFonts w:hint="eastAsia"/>
                <w:bCs/>
                <w:sz w:val="24"/>
              </w:rPr>
            </w:pPr>
          </w:p>
        </w:tc>
      </w:tr>
      <w:tr w14:paraId="250232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526" w:type="dxa"/>
            <w:gridSpan w:val="3"/>
            <w:noWrap w:val="0"/>
            <w:vAlign w:val="top"/>
          </w:tcPr>
          <w:p w14:paraId="579D7AE0">
            <w:pPr>
              <w:numPr>
                <w:ilvl w:val="0"/>
                <w:numId w:val="1"/>
              </w:numPr>
              <w:spacing w:line="400" w:lineRule="exact"/>
              <w:rPr>
                <w:rFonts w:eastAsia="黑体"/>
                <w:b/>
                <w:bCs/>
                <w:sz w:val="32"/>
              </w:rPr>
            </w:pPr>
            <w:r>
              <w:rPr>
                <w:rFonts w:hint="eastAsia" w:eastAsia="黑体"/>
                <w:b/>
                <w:bCs/>
                <w:sz w:val="32"/>
              </w:rPr>
              <w:t>课题</w:t>
            </w:r>
            <w:r>
              <w:rPr>
                <w:rFonts w:eastAsia="黑体"/>
                <w:b/>
                <w:bCs/>
                <w:sz w:val="32"/>
              </w:rPr>
              <w:t>研究</w:t>
            </w:r>
            <w:r>
              <w:rPr>
                <w:rFonts w:hint="eastAsia" w:eastAsia="黑体"/>
                <w:b/>
                <w:bCs/>
                <w:sz w:val="32"/>
              </w:rPr>
              <w:t>主要</w:t>
            </w:r>
            <w:r>
              <w:rPr>
                <w:rFonts w:eastAsia="黑体"/>
                <w:b/>
                <w:bCs/>
                <w:sz w:val="32"/>
              </w:rPr>
              <w:t>内容</w:t>
            </w:r>
            <w:r>
              <w:rPr>
                <w:rFonts w:hint="eastAsia" w:eastAsia="黑体"/>
                <w:b/>
                <w:bCs/>
                <w:sz w:val="32"/>
              </w:rPr>
              <w:t>及研究</w:t>
            </w:r>
            <w:r>
              <w:rPr>
                <w:rFonts w:eastAsia="黑体"/>
                <w:b/>
                <w:bCs/>
                <w:sz w:val="32"/>
              </w:rPr>
              <w:t>基础</w:t>
            </w:r>
          </w:p>
          <w:p w14:paraId="00000014">
            <w:pPr>
              <w:spacing w:line="400" w:lineRule="exact"/>
              <w:ind w:firstLine="240" w:firstLineChars="100"/>
              <w:rPr>
                <w:bCs/>
                <w:sz w:val="24"/>
              </w:rPr>
            </w:pPr>
            <w:r>
              <w:rPr>
                <w:bCs/>
                <w:sz w:val="24"/>
                <w:rtl w:val="0"/>
              </w:rPr>
              <w:t>本研究将构建一个</w:t>
            </w:r>
            <w:r>
              <w:rPr>
                <w:rFonts w:hint="eastAsia"/>
                <w:bCs/>
                <w:sz w:val="24"/>
                <w:rtl w:val="0"/>
                <w:lang w:val="en-US" w:eastAsia="zh-CN"/>
              </w:rPr>
              <w:t>新的</w:t>
            </w:r>
            <w:r>
              <w:rPr>
                <w:rFonts w:hint="eastAsia"/>
                <w:bCs/>
                <w:sz w:val="24"/>
                <w:rtl w:val="0"/>
                <w:lang w:val="en-US" w:eastAsia="zh-CN"/>
              </w:rPr>
              <w:t>面向跨域联邦学习的解耦原型学习</w:t>
            </w:r>
            <w:r>
              <w:rPr>
                <w:bCs/>
                <w:sz w:val="24"/>
                <w:rtl w:val="0"/>
              </w:rPr>
              <w:t>框架，核心内容包括以下三个方面：</w:t>
            </w:r>
          </w:p>
          <w:p w14:paraId="00000015">
            <w:pPr>
              <w:spacing w:line="400" w:lineRule="exact"/>
              <w:rPr>
                <w:b/>
                <w:bCs w:val="0"/>
                <w:sz w:val="24"/>
              </w:rPr>
            </w:pPr>
            <w:r>
              <w:rPr>
                <w:rFonts w:hint="eastAsia"/>
                <w:b/>
                <w:bCs w:val="0"/>
                <w:sz w:val="24"/>
                <w:rtl w:val="0"/>
                <w:lang w:val="en-US" w:eastAsia="zh-CN"/>
              </w:rPr>
              <w:t>2.1</w:t>
            </w:r>
            <w:r>
              <w:rPr>
                <w:b/>
                <w:bCs w:val="0"/>
                <w:sz w:val="24"/>
                <w:rtl w:val="0"/>
              </w:rPr>
              <w:t>基于正交约束的显式双原型解耦表征</w:t>
            </w:r>
          </w:p>
          <w:p w14:paraId="00000017">
            <w:pPr>
              <w:spacing w:line="400" w:lineRule="exact"/>
              <w:ind w:firstLine="480" w:firstLineChars="200"/>
              <w:rPr>
                <w:bCs/>
                <w:sz w:val="24"/>
              </w:rPr>
            </w:pPr>
            <w:r>
              <w:rPr>
                <w:bCs/>
                <w:sz w:val="24"/>
                <w:rtl w:val="0"/>
              </w:rPr>
              <w:t>针对现有方法特征定义模糊、解耦不彻底的问题，本研究创造性地提出双原型表征机制。双原型定义：我们将传统的单一原型拆解为两组独立的原型向量：</w:t>
            </w:r>
          </w:p>
          <w:p w14:paraId="17800740">
            <w:pPr>
              <w:numPr>
                <w:ilvl w:val="0"/>
                <w:numId w:val="3"/>
              </w:numPr>
              <w:spacing w:line="400" w:lineRule="exact"/>
              <w:ind w:left="840" w:leftChars="0" w:hanging="420" w:firstLineChars="0"/>
              <w:rPr>
                <w:bCs/>
                <w:sz w:val="24"/>
                <w:rtl w:val="0"/>
              </w:rPr>
            </w:pPr>
            <w:r>
              <w:rPr>
                <w:bCs/>
                <w:sz w:val="24"/>
                <w:rtl w:val="0"/>
              </w:rPr>
              <w:t>内容原型 (Content Prototype)：负责捕获跨域不变的类别语义信息</w:t>
            </w:r>
            <w:r>
              <w:rPr>
                <w:rFonts w:hint="eastAsia"/>
                <w:bCs/>
                <w:sz w:val="24"/>
                <w:rtl w:val="0"/>
                <w:lang w:eastAsia="zh-CN"/>
              </w:rPr>
              <w:t>。</w:t>
            </w:r>
          </w:p>
          <w:p w14:paraId="6854A772">
            <w:pPr>
              <w:numPr>
                <w:ilvl w:val="0"/>
                <w:numId w:val="3"/>
              </w:numPr>
              <w:spacing w:line="400" w:lineRule="exact"/>
              <w:ind w:left="840" w:leftChars="0" w:hanging="420" w:firstLineChars="0"/>
              <w:rPr>
                <w:bCs/>
                <w:sz w:val="24"/>
                <w:rtl w:val="0"/>
              </w:rPr>
            </w:pPr>
            <w:r>
              <w:rPr>
                <w:bCs/>
                <w:sz w:val="24"/>
                <w:rtl w:val="0"/>
              </w:rPr>
              <w:t>风格原型 (Style Prototype)：负责捕获特定域的纹理、光照与分布特征</w:t>
            </w:r>
            <w:r>
              <w:rPr>
                <w:rFonts w:hint="eastAsia"/>
                <w:bCs/>
                <w:sz w:val="24"/>
                <w:rtl w:val="0"/>
                <w:lang w:eastAsia="zh-CN"/>
              </w:rPr>
              <w:t>。</w:t>
            </w:r>
          </w:p>
          <w:p w14:paraId="0000001A">
            <w:pPr>
              <w:spacing w:line="400" w:lineRule="exact"/>
              <w:ind w:firstLine="480" w:firstLineChars="200"/>
              <w:rPr>
                <w:bCs/>
                <w:sz w:val="24"/>
                <w:rtl w:val="0"/>
              </w:rPr>
            </w:pPr>
            <w:r>
              <w:rPr>
                <w:bCs/>
                <w:sz w:val="24"/>
                <w:rtl w:val="0"/>
              </w:rPr>
              <w:t>为了保证双原型的纯净度，我们引入显式的几何正交约束。在特征空间中，强制内容向量与风格向量的余弦相似度趋近于零，使其在几何上保持垂直。这种硬性约束迫使网络将与分类无关的变异信息剥离到风格空间，从而获得高纯度的语义表征。</w:t>
            </w:r>
          </w:p>
          <w:p w14:paraId="5ED32700">
            <w:pPr>
              <w:spacing w:line="400" w:lineRule="exact"/>
              <w:ind w:firstLine="480" w:firstLineChars="200"/>
              <w:rPr>
                <w:bCs/>
                <w:sz w:val="24"/>
                <w:rtl w:val="0"/>
              </w:rPr>
            </w:pPr>
          </w:p>
          <w:p w14:paraId="0000001B">
            <w:pPr>
              <w:spacing w:line="400" w:lineRule="exact"/>
              <w:rPr>
                <w:b/>
                <w:bCs w:val="0"/>
                <w:sz w:val="24"/>
              </w:rPr>
            </w:pPr>
            <w:r>
              <w:rPr>
                <w:b/>
                <w:bCs w:val="0"/>
                <w:sz w:val="24"/>
                <w:rtl w:val="0"/>
              </w:rPr>
              <w:t>2.</w:t>
            </w:r>
            <w:r>
              <w:rPr>
                <w:rFonts w:hint="eastAsia"/>
                <w:b/>
                <w:bCs w:val="0"/>
                <w:sz w:val="24"/>
                <w:rtl w:val="0"/>
                <w:lang w:val="en-US" w:eastAsia="zh-CN"/>
              </w:rPr>
              <w:t>2</w:t>
            </w:r>
            <w:r>
              <w:rPr>
                <w:b/>
                <w:bCs w:val="0"/>
                <w:sz w:val="24"/>
                <w:rtl w:val="0"/>
              </w:rPr>
              <w:t xml:space="preserve"> 风格原型的资产化与跨域交换</w:t>
            </w:r>
          </w:p>
          <w:p w14:paraId="0000001C">
            <w:pPr>
              <w:spacing w:line="400" w:lineRule="exact"/>
              <w:ind w:firstLine="480" w:firstLineChars="200"/>
              <w:rPr>
                <w:bCs/>
                <w:sz w:val="24"/>
              </w:rPr>
            </w:pPr>
            <w:r>
              <w:rPr>
                <w:bCs/>
                <w:sz w:val="24"/>
                <w:rtl w:val="0"/>
              </w:rPr>
              <w:t>针对 FedSTAR 等方法将风格视为私有噪声的问题，本研究提出“风格资产化”理念，构建全局风格</w:t>
            </w:r>
            <w:r>
              <w:rPr>
                <w:rFonts w:hint="eastAsia"/>
                <w:bCs/>
                <w:sz w:val="24"/>
                <w:rtl w:val="0"/>
                <w:lang w:val="en-US" w:eastAsia="zh-CN"/>
              </w:rPr>
              <w:t>仓库</w:t>
            </w:r>
            <w:r>
              <w:rPr>
                <w:bCs/>
                <w:sz w:val="24"/>
                <w:rtl w:val="0"/>
              </w:rPr>
              <w:t>（Global Style Bank）。</w:t>
            </w:r>
          </w:p>
          <w:p w14:paraId="0000001E">
            <w:pPr>
              <w:spacing w:line="400" w:lineRule="exact"/>
              <w:ind w:firstLine="480" w:firstLineChars="200"/>
              <w:rPr>
                <w:bCs/>
                <w:sz w:val="24"/>
              </w:rPr>
            </w:pPr>
            <w:r>
              <w:rPr>
                <w:rFonts w:hint="eastAsia"/>
                <w:bCs/>
                <w:sz w:val="24"/>
                <w:rtl w:val="0"/>
                <w:lang w:val="en-US" w:eastAsia="zh-CN"/>
              </w:rPr>
              <w:t>具体来说</w:t>
            </w:r>
            <w:r>
              <w:rPr>
                <w:bCs/>
                <w:sz w:val="24"/>
                <w:rtl w:val="0"/>
              </w:rPr>
              <w:t>服务器端维护一个动态更新的风格原型库，存储来自不同域（如照片、素描、油画）的代表性风格原型。</w:t>
            </w:r>
            <w:r>
              <w:rPr>
                <w:rFonts w:hint="eastAsia"/>
                <w:bCs/>
                <w:sz w:val="24"/>
                <w:rtl w:val="0"/>
                <w:lang w:val="en-US" w:eastAsia="zh-CN"/>
              </w:rPr>
              <w:t>并且在本地训练阶段进行跨域风格交换：</w:t>
            </w:r>
            <w:r>
              <w:rPr>
                <w:bCs/>
                <w:sz w:val="24"/>
                <w:rtl w:val="0"/>
              </w:rPr>
              <w:t>客户端随机从全局风格</w:t>
            </w:r>
            <w:r>
              <w:rPr>
                <w:rFonts w:hint="eastAsia"/>
                <w:bCs/>
                <w:sz w:val="24"/>
                <w:rtl w:val="0"/>
                <w:lang w:eastAsia="zh-CN"/>
              </w:rPr>
              <w:t>仓库</w:t>
            </w:r>
            <w:r>
              <w:rPr>
                <w:bCs/>
                <w:sz w:val="24"/>
                <w:rtl w:val="0"/>
              </w:rPr>
              <w:t>中采样非本地的风格原型，并将其注入到本地的语义特征中，生成“虚拟”的跨域样本特征。这相当于在特征层面进行了一种隐式的数据增强，让本地模型“看到”未见过的域风格，从而显著提升泛化能力。</w:t>
            </w:r>
          </w:p>
          <w:p w14:paraId="0000001F">
            <w:pPr>
              <w:spacing w:line="400" w:lineRule="exact"/>
              <w:rPr>
                <w:b/>
                <w:bCs w:val="0"/>
                <w:sz w:val="24"/>
              </w:rPr>
            </w:pPr>
            <w:r>
              <w:rPr>
                <w:rFonts w:hint="eastAsia"/>
                <w:b/>
                <w:bCs w:val="0"/>
                <w:sz w:val="24"/>
                <w:rtl w:val="0"/>
                <w:lang w:val="en-US" w:eastAsia="zh-CN"/>
              </w:rPr>
              <w:t>2.</w:t>
            </w:r>
            <w:r>
              <w:rPr>
                <w:b/>
                <w:bCs w:val="0"/>
                <w:sz w:val="24"/>
                <w:rtl w:val="0"/>
              </w:rPr>
              <w:t>3. 基于对比学习的语义软对齐</w:t>
            </w:r>
          </w:p>
          <w:p w14:paraId="780E48E1">
            <w:pPr>
              <w:spacing w:line="400" w:lineRule="exact"/>
              <w:ind w:firstLine="480" w:firstLineChars="200"/>
              <w:rPr>
                <w:bCs/>
                <w:sz w:val="24"/>
              </w:rPr>
            </w:pPr>
            <w:r>
              <w:rPr>
                <w:bCs/>
                <w:sz w:val="24"/>
                <w:rtl w:val="0"/>
              </w:rPr>
              <w:t>针对直接平均聚合导致的几何失真问题，本研究采用语义软对齐策略。</w:t>
            </w:r>
            <w:r>
              <w:rPr>
                <w:rFonts w:hint="eastAsia"/>
                <w:bCs/>
                <w:sz w:val="24"/>
                <w:rtl w:val="0"/>
                <w:lang w:val="en-US" w:eastAsia="zh-CN"/>
              </w:rPr>
              <w:t>我们</w:t>
            </w:r>
            <w:r>
              <w:rPr>
                <w:bCs/>
                <w:sz w:val="24"/>
                <w:rtl w:val="0"/>
              </w:rPr>
              <w:t>放弃强制本地特征逼近全局均值的做法，转而利用全局内容原型作为“锚点（Anchor）”。</w:t>
            </w:r>
            <w:r>
              <w:rPr>
                <w:rFonts w:hint="eastAsia"/>
                <w:bCs/>
                <w:sz w:val="24"/>
                <w:rtl w:val="0"/>
                <w:lang w:val="en-US" w:eastAsia="zh-CN"/>
              </w:rPr>
              <w:t>然后</w:t>
            </w:r>
            <w:r>
              <w:rPr>
                <w:bCs/>
                <w:sz w:val="24"/>
                <w:rtl w:val="0"/>
              </w:rPr>
              <w:t>通过对比损失函数</w:t>
            </w:r>
            <w:r>
              <w:rPr>
                <w:rFonts w:hint="eastAsia"/>
                <w:bCs/>
                <w:sz w:val="24"/>
                <w:rtl w:val="0"/>
                <w:lang w:val="en-US" w:eastAsia="zh-CN"/>
              </w:rPr>
              <w:t>这种软性约束的方式</w:t>
            </w:r>
            <w:r>
              <w:rPr>
                <w:bCs/>
                <w:sz w:val="24"/>
                <w:rtl w:val="0"/>
              </w:rPr>
              <w:t>，拉近本地语义特征与同类全局锚点的距离，同时推开异类锚点。这种“软对齐”允许本地特征在全局锚点周围保留一定的分布方差（即保留必要的本地个性化信息），实现了全局一致性与本地特异性的平衡。</w:t>
            </w:r>
          </w:p>
          <w:p w14:paraId="7D9AACF9">
            <w:pPr>
              <w:spacing w:line="400" w:lineRule="exact"/>
              <w:rPr>
                <w:rFonts w:hint="eastAsia"/>
                <w:bCs/>
                <w:sz w:val="24"/>
              </w:rPr>
            </w:pPr>
          </w:p>
        </w:tc>
      </w:tr>
      <w:tr w14:paraId="780776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526" w:type="dxa"/>
            <w:gridSpan w:val="3"/>
            <w:noWrap w:val="0"/>
            <w:vAlign w:val="top"/>
          </w:tcPr>
          <w:p w14:paraId="6B578D9B">
            <w:pPr>
              <w:numPr>
                <w:ilvl w:val="0"/>
                <w:numId w:val="1"/>
              </w:numPr>
              <w:spacing w:line="400" w:lineRule="exact"/>
              <w:rPr>
                <w:rFonts w:eastAsia="黑体"/>
                <w:b/>
                <w:bCs/>
                <w:sz w:val="28"/>
              </w:rPr>
            </w:pPr>
            <w:r>
              <w:rPr>
                <w:rFonts w:hint="eastAsia" w:eastAsia="黑体"/>
                <w:b/>
                <w:bCs/>
                <w:sz w:val="32"/>
              </w:rPr>
              <w:t>研究（或调研）方案</w:t>
            </w:r>
            <w:r>
              <w:rPr>
                <w:rFonts w:eastAsia="黑体"/>
                <w:b/>
                <w:bCs/>
                <w:sz w:val="32"/>
              </w:rPr>
              <w:t>和思路（</w:t>
            </w:r>
            <w:r>
              <w:rPr>
                <w:rFonts w:hint="eastAsia" w:eastAsia="黑体"/>
                <w:b/>
                <w:bCs/>
                <w:sz w:val="32"/>
              </w:rPr>
              <w:t>技术路线</w:t>
            </w:r>
            <w:r>
              <w:rPr>
                <w:rFonts w:eastAsia="黑体"/>
                <w:b/>
                <w:bCs/>
                <w:sz w:val="32"/>
              </w:rPr>
              <w:t>）</w:t>
            </w:r>
          </w:p>
          <w:p w14:paraId="07832453">
            <w:pPr>
              <w:spacing w:line="400" w:lineRule="exact"/>
              <w:rPr>
                <w:b/>
                <w:bCs w:val="0"/>
                <w:sz w:val="24"/>
                <w:rtl w:val="0"/>
              </w:rPr>
            </w:pPr>
            <w:r>
              <w:rPr>
                <w:rFonts w:hint="default"/>
                <w:b/>
                <w:bCs w:val="0"/>
                <w:sz w:val="24"/>
                <w:rtl w:val="0"/>
              </w:rPr>
              <w:t>3.1 系统架构与定义</w:t>
            </w:r>
          </w:p>
          <w:p w14:paraId="6C7B74E0">
            <w:pPr>
              <w:spacing w:line="400" w:lineRule="exact"/>
              <w:ind w:firstLine="480" w:firstLineChars="200"/>
              <w:rPr>
                <w:rFonts w:hint="default"/>
                <w:b w:val="0"/>
                <w:bCs/>
                <w:sz w:val="24"/>
                <w:rtl w:val="0"/>
              </w:rPr>
            </w:pPr>
            <w:r>
              <w:rPr>
                <w:rFonts w:hint="default"/>
                <w:b w:val="0"/>
                <w:bCs/>
                <w:sz w:val="24"/>
                <w:rtl w:val="0"/>
              </w:rPr>
              <w:t xml:space="preserve">本系统构建于由中央服务器与 </w:t>
            </w:r>
            <m:oMath>
              <m:r>
                <m:rPr/>
                <w:rPr>
                  <w:rFonts w:hint="default" w:ascii="Cambria Math" w:hAnsi="Cambria Math"/>
                  <w:sz w:val="24"/>
                </w:rPr>
                <m:t>N</m:t>
              </m:r>
            </m:oMath>
            <w:r>
              <w:rPr>
                <w:rFonts w:hint="default"/>
                <w:b w:val="0"/>
                <w:bCs/>
                <w:sz w:val="24"/>
                <w:rtl w:val="0"/>
              </w:rPr>
              <w:t xml:space="preserve"> 个客户端组成的联邦学习框架之上。服务器端核心维护一个全局风格</w:t>
            </w:r>
            <w:r>
              <w:rPr>
                <w:rFonts w:hint="eastAsia"/>
                <w:b w:val="0"/>
                <w:bCs/>
                <w:sz w:val="24"/>
                <w:rtl w:val="0"/>
                <w:lang w:val="en-US" w:eastAsia="zh-CN"/>
              </w:rPr>
              <w:t>仓库</w:t>
            </w:r>
            <w:r>
              <w:rPr>
                <w:rFonts w:hint="default"/>
                <w:b w:val="0"/>
                <w:bCs/>
                <w:sz w:val="24"/>
                <w:rtl w:val="0"/>
              </w:rPr>
              <w:t xml:space="preserve">（Global Style Bank, </w:t>
            </w:r>
            <m:oMath>
              <m:r>
                <m:rPr>
                  <m:scr m:val="script"/>
                </m:rPr>
                <w:rPr>
                  <w:rFonts w:hint="default" w:ascii="Cambria Math" w:hAnsi="Cambria Math" w:eastAsia="MS Mincho"/>
                  <w:sz w:val="24"/>
                </w:rPr>
                <m:t>ℬ</m:t>
              </m:r>
            </m:oMath>
            <w:r>
              <w:rPr>
                <w:rFonts w:hint="default"/>
                <w:b w:val="0"/>
                <w:bCs/>
                <w:sz w:val="24"/>
                <w:rtl w:val="0"/>
              </w:rPr>
              <w:t xml:space="preserve">），即 </w:t>
            </w:r>
            <m:oMath>
              <m:r>
                <m:rPr>
                  <m:scr m:val="script"/>
                </m:rPr>
                <w:rPr>
                  <w:rFonts w:hint="default" w:ascii="Cambria Math" w:hAnsi="Cambria Math" w:eastAsia="MS Mincho"/>
                  <w:sz w:val="24"/>
                </w:rPr>
                <m:t>ℬ</m:t>
              </m:r>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up>
                  <m:r>
                    <m:rPr/>
                    <w:rPr>
                      <w:rFonts w:hint="default" w:ascii="Cambria Math" w:hAnsi="Cambria Math"/>
                      <w:sz w:val="24"/>
                    </w:rPr>
                    <m:t>1</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r>
                <m:rPr/>
                <w:rPr>
                  <w:rFonts w:hint="default" w:ascii="Cambria Math" w:hAnsi="Cambria Math"/>
                  <w:sz w:val="24"/>
                </w:rPr>
                <m:t>}</m:t>
              </m:r>
            </m:oMath>
            <w:r>
              <w:rPr>
                <w:rFonts w:hint="default"/>
                <w:b w:val="0"/>
                <w:bCs/>
                <w:sz w:val="24"/>
                <w:rtl w:val="0"/>
              </w:rPr>
              <w:t>，旨在存储并管理全网多样化的风格原型资产。</w:t>
            </w:r>
          </w:p>
          <w:p w14:paraId="1F8858F0">
            <w:pPr>
              <w:spacing w:line="400" w:lineRule="exact"/>
              <w:ind w:firstLine="480" w:firstLineChars="200"/>
              <w:rPr>
                <w:rFonts w:hint="default" w:ascii="Times New Roman" w:hAnsi="Times New Roman" w:eastAsia="宋体" w:cs="Times New Roman"/>
                <w:bCs/>
                <w:sz w:val="24"/>
                <w:rtl w:val="0"/>
              </w:rPr>
            </w:pPr>
            <w:r>
              <w:rPr>
                <w:rFonts w:hint="default" w:ascii="Times New Roman" w:hAnsi="Times New Roman" w:eastAsia="宋体" w:cs="Times New Roman"/>
                <w:bCs/>
                <w:sz w:val="24"/>
                <w:rtl w:val="0"/>
              </w:rPr>
              <w:t>模型设计上采用双头解耦架构：骨干网络（</w:t>
            </w:r>
            <m:oMath>
              <m:r>
                <m:rPr>
                  <m:sty m:val="p"/>
                </m:rPr>
                <w:rPr>
                  <w:rFonts w:hint="default" w:ascii="Times New Roman" w:hAnsi="Times New Roman" w:eastAsia="宋体" w:cs="Times New Roman"/>
                  <w:sz w:val="24"/>
                  <w:rtl w:val="0"/>
                </w:rPr>
                <m:t>F</m:t>
              </m:r>
            </m:oMath>
            <w:r>
              <w:rPr>
                <w:rFonts w:hint="default" w:ascii="Times New Roman" w:hAnsi="Times New Roman" w:eastAsia="宋体" w:cs="Times New Roman"/>
                <w:bCs/>
                <w:sz w:val="24"/>
                <w:rtl w:val="0"/>
              </w:rPr>
              <w:t>，如 ResNet-18）作为特征提取器，严格遵循 FedBN 原则，将其包含的所有 Batch Normalization (BN) 层参数永久冻结在本地，不参与上传与聚合，以有效保留各客户端的本地统计特征；骨干网络之后分为两个独立的分支，即语义头 (</w:t>
            </w:r>
            <m:oMath>
              <m:sSub>
                <m:sSubPr>
                  <m:ctrlPr>
                    <w:rPr>
                      <w:rFonts w:hint="default" w:ascii="Cambria Math" w:hAnsi="Cambria Math" w:eastAsia="宋体" w:cs="Times New Roman"/>
                      <w:bCs/>
                      <w:sz w:val="24"/>
                      <w:rtl w:val="0"/>
                    </w:rPr>
                  </m:ctrlPr>
                </m:sSubPr>
                <m:e>
                  <m:r>
                    <m:rPr>
                      <m:sty m:val="p"/>
                    </m:rPr>
                    <w:rPr>
                      <w:rFonts w:hint="default" w:ascii="Times New Roman" w:hAnsi="Times New Roman" w:eastAsia="宋体" w:cs="Times New Roman"/>
                      <w:sz w:val="24"/>
                      <w:rtl w:val="0"/>
                    </w:rPr>
                    <m:t>H</m:t>
                  </m:r>
                  <m:ctrlPr>
                    <w:rPr>
                      <w:rFonts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sem</m:t>
                  </m:r>
                  <m:ctrlPr>
                    <w:rPr>
                      <w:rFonts w:ascii="Cambria Math" w:hAnsi="Cambria Math" w:eastAsia="宋体" w:cs="Times New Roman"/>
                      <w:bCs/>
                      <w:sz w:val="24"/>
                      <w:rtl w:val="0"/>
                    </w:rPr>
                  </m:ctrlPr>
                </m:sub>
              </m:sSub>
            </m:oMath>
            <w:r>
              <w:rPr>
                <w:rFonts w:hint="default" w:ascii="Times New Roman" w:hAnsi="Times New Roman" w:eastAsia="宋体" w:cs="Times New Roman"/>
                <w:bCs/>
                <w:sz w:val="24"/>
                <w:rtl w:val="0"/>
              </w:rPr>
              <w:t>) 与 风格头 (</w:t>
            </w:r>
            <m:oMath>
              <m:sSub>
                <m:sSubPr>
                  <m:ctrlPr>
                    <w:rPr>
                      <w:rFonts w:hint="default" w:ascii="Cambria Math" w:hAnsi="Cambria Math" w:eastAsia="宋体" w:cs="Times New Roman"/>
                      <w:bCs/>
                      <w:sz w:val="24"/>
                      <w:rtl w:val="0"/>
                    </w:rPr>
                  </m:ctrlPr>
                </m:sSubPr>
                <m:e>
                  <m:r>
                    <m:rPr>
                      <m:sty m:val="p"/>
                    </m:rPr>
                    <w:rPr>
                      <w:rFonts w:hint="default" w:ascii="Times New Roman" w:hAnsi="Times New Roman" w:eastAsia="宋体" w:cs="Times New Roman"/>
                      <w:sz w:val="24"/>
                      <w:rtl w:val="0"/>
                    </w:rPr>
                    <m:t>H</m:t>
                  </m:r>
                  <m:ctrlPr>
                    <w:rPr>
                      <w:rFonts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sty</m:t>
                  </m:r>
                  <m:ctrlPr>
                    <w:rPr>
                      <w:rFonts w:ascii="Cambria Math" w:hAnsi="Cambria Math" w:eastAsia="宋体" w:cs="Times New Roman"/>
                      <w:bCs/>
                      <w:sz w:val="24"/>
                      <w:rtl w:val="0"/>
                    </w:rPr>
                  </m:ctrlPr>
                </m:sub>
              </m:sSub>
            </m:oMath>
            <w:r>
              <w:rPr>
                <w:rFonts w:hint="default" w:ascii="Times New Roman" w:hAnsi="Times New Roman" w:eastAsia="宋体" w:cs="Times New Roman"/>
                <w:bCs/>
                <w:sz w:val="24"/>
                <w:rtl w:val="0"/>
              </w:rPr>
              <w:t xml:space="preserve">)，分别用于映射并提取语义内容特征 </w:t>
            </w:r>
            <m:oMath>
              <m:sSub>
                <m:sSubPr>
                  <m:ctrlPr>
                    <w:rPr>
                      <w:rFonts w:hint="default" w:ascii="Cambria Math" w:hAnsi="Cambria Math" w:eastAsia="宋体" w:cs="Times New Roman"/>
                      <w:bCs/>
                      <w:sz w:val="24"/>
                      <w:rtl w:val="0"/>
                    </w:rPr>
                  </m:ctrlPr>
                </m:sSubPr>
                <m:e>
                  <m:r>
                    <m:rPr>
                      <m:sty m:val="p"/>
                    </m:rPr>
                    <w:rPr>
                      <w:rFonts w:hint="default" w:ascii="Times New Roman" w:hAnsi="Times New Roman" w:eastAsia="宋体" w:cs="Times New Roman"/>
                      <w:sz w:val="24"/>
                      <w:rtl w:val="0"/>
                    </w:rPr>
                    <m:t>z</m:t>
                  </m:r>
                  <m:ctrlPr>
                    <w:rPr>
                      <w:rFonts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sem</m:t>
                  </m:r>
                  <m:ctrlPr>
                    <w:rPr>
                      <w:rFonts w:ascii="Cambria Math" w:hAnsi="Cambria Math" w:eastAsia="宋体" w:cs="Times New Roman"/>
                      <w:bCs/>
                      <w:sz w:val="24"/>
                      <w:rtl w:val="0"/>
                    </w:rPr>
                  </m:ctrlPr>
                </m:sub>
              </m:sSub>
            </m:oMath>
            <w:r>
              <w:rPr>
                <w:rFonts w:hint="default" w:ascii="Times New Roman" w:hAnsi="Times New Roman" w:eastAsia="宋体" w:cs="Times New Roman"/>
                <w:bCs/>
                <w:sz w:val="24"/>
                <w:rtl w:val="0"/>
              </w:rPr>
              <w:t xml:space="preserve"> 与风格特征 </w:t>
            </w:r>
            <m:oMath>
              <m:sSub>
                <m:sSubPr>
                  <m:ctrlPr>
                    <w:rPr>
                      <w:rFonts w:hint="default" w:ascii="Cambria Math" w:hAnsi="Cambria Math" w:eastAsia="宋体" w:cs="Times New Roman"/>
                      <w:bCs/>
                      <w:sz w:val="24"/>
                      <w:rtl w:val="0"/>
                    </w:rPr>
                  </m:ctrlPr>
                </m:sSubPr>
                <m:e>
                  <m:r>
                    <m:rPr>
                      <m:sty m:val="p"/>
                    </m:rPr>
                    <w:rPr>
                      <w:rFonts w:hint="default" w:ascii="Times New Roman" w:hAnsi="Times New Roman" w:eastAsia="宋体" w:cs="Times New Roman"/>
                      <w:sz w:val="24"/>
                      <w:rtl w:val="0"/>
                    </w:rPr>
                    <m:t>z</m:t>
                  </m:r>
                  <m:ctrlPr>
                    <w:rPr>
                      <w:rFonts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sty</m:t>
                  </m:r>
                  <m:ctrlPr>
                    <w:rPr>
                      <w:rFonts w:ascii="Cambria Math" w:hAnsi="Cambria Math" w:eastAsia="宋体" w:cs="Times New Roman"/>
                      <w:bCs/>
                      <w:sz w:val="24"/>
                      <w:rtl w:val="0"/>
                    </w:rPr>
                  </m:ctrlPr>
                </m:sub>
              </m:sSub>
            </m:oMath>
            <w:r>
              <w:rPr>
                <w:rFonts w:hint="default" w:ascii="Times New Roman" w:hAnsi="Times New Roman" w:eastAsia="宋体" w:cs="Times New Roman"/>
                <w:bCs/>
                <w:sz w:val="24"/>
                <w:rtl w:val="0"/>
              </w:rPr>
              <w:t>，实现特征空间的解耦。</w:t>
            </w:r>
          </w:p>
          <w:p w14:paraId="48442555">
            <w:pPr>
              <w:spacing w:line="400" w:lineRule="exact"/>
              <w:rPr>
                <w:rFonts w:hint="default"/>
                <w:b/>
                <w:bCs w:val="0"/>
                <w:sz w:val="24"/>
                <w:rtl w:val="0"/>
              </w:rPr>
            </w:pPr>
            <w:r>
              <w:rPr>
                <w:rFonts w:hint="default"/>
                <w:b/>
                <w:bCs w:val="0"/>
                <w:sz w:val="24"/>
                <w:rtl w:val="0"/>
              </w:rPr>
              <w:t>3.2 完整算法流程</w:t>
            </w:r>
          </w:p>
          <w:p w14:paraId="31B47111">
            <w:pPr>
              <w:spacing w:line="400" w:lineRule="exact"/>
              <w:ind w:firstLine="480" w:firstLineChars="200"/>
              <w:rPr>
                <w:rFonts w:hint="default"/>
                <w:b w:val="0"/>
                <w:bCs/>
                <w:sz w:val="24"/>
                <w:rtl w:val="0"/>
              </w:rPr>
            </w:pPr>
            <w:r>
              <w:rPr>
                <w:rFonts w:hint="default"/>
                <w:b w:val="0"/>
                <w:bCs/>
                <w:sz w:val="24"/>
                <w:rtl w:val="0"/>
              </w:rPr>
              <w:t>算法的具体实施分为服务器初始化、客户端本地训练与服务器聚合三个阶段。</w:t>
            </w:r>
          </w:p>
          <w:p w14:paraId="6ECDC626">
            <w:pPr>
              <w:spacing w:line="400" w:lineRule="exact"/>
              <w:ind w:firstLine="480" w:firstLineChars="200"/>
              <w:rPr>
                <w:rFonts w:hint="default" w:ascii="Times New Roman" w:hAnsi="Times New Roman" w:eastAsia="宋体" w:cs="Times New Roman"/>
                <w:bCs/>
                <w:sz w:val="24"/>
                <w:rtl w:val="0"/>
              </w:rPr>
            </w:pPr>
            <w:r>
              <w:rPr>
                <w:rFonts w:hint="default" w:ascii="Times New Roman" w:hAnsi="Times New Roman" w:eastAsia="宋体" w:cs="Times New Roman"/>
                <w:bCs/>
                <w:sz w:val="24"/>
                <w:rtl w:val="0"/>
              </w:rPr>
              <w:t xml:space="preserve">首先是服务器初始化阶段。 服务器初始化不含 BN 层的全局模型参数 </w:t>
            </w:r>
            <m:oMath>
              <m:sSub>
                <m:sSubPr>
                  <m:ctrlPr>
                    <w:rPr>
                      <w:rFonts w:hint="default" w:ascii="Cambria Math" w:hAnsi="Cambria Math" w:eastAsia="宋体" w:cs="Times New Roman"/>
                      <w:bCs/>
                      <w:sz w:val="24"/>
                      <w:rtl w:val="0"/>
                    </w:rPr>
                  </m:ctrlPr>
                </m:sSubPr>
                <m:e>
                  <m:r>
                    <m:rPr>
                      <m:sty m:val="p"/>
                    </m:rPr>
                    <w:rPr>
                      <w:rFonts w:hint="default" w:ascii="Times New Roman" w:hAnsi="Times New Roman" w:eastAsia="宋体" w:cs="Times New Roman"/>
                      <w:sz w:val="24"/>
                      <w:rtl w:val="0"/>
                    </w:rPr>
                    <m:t>θ</m:t>
                  </m:r>
                  <m:ctrlPr>
                    <w:rPr>
                      <w:rFonts w:hint="default"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global</m:t>
                  </m:r>
                  <m:ctrlPr>
                    <w:rPr>
                      <w:rFonts w:hint="default" w:ascii="Cambria Math" w:hAnsi="Cambria Math" w:eastAsia="宋体" w:cs="Times New Roman"/>
                      <w:bCs/>
                      <w:sz w:val="24"/>
                      <w:rtl w:val="0"/>
                    </w:rPr>
                  </m:ctrlPr>
                </m:sub>
              </m:sSub>
            </m:oMath>
            <w:r>
              <w:rPr>
                <w:rFonts w:hint="default" w:ascii="Times New Roman" w:hAnsi="Times New Roman" w:eastAsia="宋体" w:cs="Times New Roman"/>
                <w:bCs/>
                <w:sz w:val="24"/>
                <w:rtl w:val="0"/>
              </w:rPr>
              <w:t xml:space="preserve">、全局内容原型 </w:t>
            </w:r>
            <m:oMath>
              <m:sSubSup>
                <m:sSubSupPr>
                  <m:ctrlPr>
                    <w:rPr>
                      <w:rFonts w:hint="default" w:ascii="Cambria Math" w:hAnsi="Cambria Math" w:eastAsia="宋体" w:cs="Times New Roman"/>
                      <w:bCs/>
                      <w:sz w:val="24"/>
                      <w:rtl w:val="0"/>
                    </w:rPr>
                  </m:ctrlPr>
                </m:sSubSupPr>
                <m:e>
                  <m:r>
                    <m:rPr>
                      <m:sty m:val="p"/>
                    </m:rPr>
                    <w:rPr>
                      <w:rFonts w:hint="default" w:ascii="Times New Roman" w:hAnsi="Times New Roman" w:eastAsia="宋体" w:cs="Times New Roman"/>
                      <w:sz w:val="24"/>
                      <w:rtl w:val="0"/>
                    </w:rPr>
                    <m:t>P</m:t>
                  </m:r>
                  <m:ctrlPr>
                    <w:rPr>
                      <w:rFonts w:hint="default"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con</m:t>
                  </m:r>
                  <m:ctrlPr>
                    <w:rPr>
                      <w:rFonts w:hint="default" w:ascii="Cambria Math" w:hAnsi="Cambria Math" w:eastAsia="宋体" w:cs="Times New Roman"/>
                      <w:bCs/>
                      <w:sz w:val="24"/>
                      <w:rtl w:val="0"/>
                    </w:rPr>
                  </m:ctrlPr>
                </m:sub>
                <m:sup>
                  <m:r>
                    <m:rPr>
                      <m:sty m:val="p"/>
                    </m:rPr>
                    <w:rPr>
                      <w:rFonts w:hint="default" w:ascii="Times New Roman" w:hAnsi="Times New Roman" w:eastAsia="宋体" w:cs="Times New Roman"/>
                      <w:sz w:val="24"/>
                      <w:rtl w:val="0"/>
                    </w:rPr>
                    <m:t>global</m:t>
                  </m:r>
                  <m:ctrlPr>
                    <w:rPr>
                      <w:rFonts w:hint="default" w:ascii="Cambria Math" w:hAnsi="Cambria Math" w:eastAsia="宋体" w:cs="Times New Roman"/>
                      <w:bCs/>
                      <w:sz w:val="24"/>
                      <w:rtl w:val="0"/>
                    </w:rPr>
                  </m:ctrlPr>
                </m:sup>
              </m:sSubSup>
            </m:oMath>
            <w:r>
              <w:rPr>
                <w:rFonts w:hint="default" w:ascii="Times New Roman" w:hAnsi="Times New Roman" w:eastAsia="宋体" w:cs="Times New Roman"/>
                <w:bCs/>
                <w:sz w:val="24"/>
                <w:rtl w:val="0"/>
              </w:rPr>
              <w:t xml:space="preserve"> 以及空的风格</w:t>
            </w:r>
            <w:r>
              <w:rPr>
                <w:rFonts w:hint="eastAsia" w:ascii="Times New Roman" w:hAnsi="Times New Roman" w:eastAsia="宋体" w:cs="Times New Roman"/>
                <w:bCs/>
                <w:sz w:val="24"/>
                <w:rtl w:val="0"/>
                <w:lang w:val="en-US" w:eastAsia="zh-CN"/>
              </w:rPr>
              <w:t>仓库</w:t>
            </w:r>
            <w:r>
              <w:rPr>
                <w:rFonts w:hint="default" w:ascii="Times New Roman" w:hAnsi="Times New Roman" w:eastAsia="宋体" w:cs="Times New Roman"/>
                <w:bCs/>
                <w:sz w:val="24"/>
                <w:rtl w:val="0"/>
              </w:rPr>
              <w:t xml:space="preserve"> </w:t>
            </w:r>
            <m:oMath>
              <m:r>
                <m:rPr>
                  <m:sty m:val="p"/>
                  <m:scr m:val="script"/>
                </m:rPr>
                <w:rPr>
                  <w:rFonts w:hint="default" w:ascii="Times New Roman" w:hAnsi="Times New Roman" w:eastAsia="MS Mincho" w:cs="MS Mincho"/>
                  <w:sz w:val="24"/>
                  <w:rtl w:val="0"/>
                </w:rPr>
                <m:t>ℬ</m:t>
              </m:r>
              <m:r>
                <m:rPr>
                  <m:sty m:val="p"/>
                </m:rPr>
                <w:rPr>
                  <w:rFonts w:hint="default" w:ascii="Times New Roman" w:hAnsi="Times New Roman" w:eastAsia="宋体" w:cs="Times New Roman"/>
                  <w:sz w:val="24"/>
                  <w:rtl w:val="0"/>
                </w:rPr>
                <m:t>←∅</m:t>
              </m:r>
            </m:oMath>
            <w:r>
              <w:rPr>
                <w:rFonts w:hint="default" w:ascii="Times New Roman" w:hAnsi="Times New Roman" w:eastAsia="宋体" w:cs="Times New Roman"/>
                <w:bCs/>
                <w:sz w:val="24"/>
                <w:rtl w:val="0"/>
              </w:rPr>
              <w:t>。随后，服务器向各客户端广播全局参数与内容原型，并从风格</w:t>
            </w:r>
            <w:r>
              <w:rPr>
                <w:rFonts w:hint="eastAsia" w:ascii="Times New Roman" w:hAnsi="Times New Roman" w:eastAsia="宋体" w:cs="Times New Roman"/>
                <w:bCs/>
                <w:sz w:val="24"/>
                <w:rtl w:val="0"/>
                <w:lang w:eastAsia="zh-CN"/>
              </w:rPr>
              <w:t>仓库</w:t>
            </w:r>
            <w:r>
              <w:rPr>
                <w:rFonts w:hint="default" w:ascii="Times New Roman" w:hAnsi="Times New Roman" w:eastAsia="宋体" w:cs="Times New Roman"/>
                <w:bCs/>
                <w:sz w:val="24"/>
                <w:rtl w:val="0"/>
              </w:rPr>
              <w:t>中采样一组风格</w:t>
            </w:r>
            <w:r>
              <w:rPr>
                <w:rFonts w:hint="eastAsia" w:ascii="Times New Roman" w:hAnsi="Times New Roman" w:eastAsia="宋体" w:cs="Times New Roman"/>
                <w:bCs/>
                <w:sz w:val="24"/>
                <w:rtl w:val="0"/>
                <w:lang w:val="en-US" w:eastAsia="zh-CN"/>
              </w:rPr>
              <w:t>原型</w:t>
            </w:r>
            <m:oMath>
              <m:r>
                <m:rPr>
                  <m:sty m:val="p"/>
                </m:rPr>
                <w:rPr>
                  <w:rFonts w:hint="default" w:ascii="Times New Roman" w:hAnsi="Times New Roman" w:eastAsia="宋体" w:cs="Times New Roman"/>
                  <w:sz w:val="24"/>
                  <w:rtl w:val="0"/>
                </w:rPr>
                <m:t>{</m:t>
              </m:r>
              <m:sSub>
                <m:sSubPr>
                  <m:ctrlPr>
                    <w:rPr>
                      <w:rFonts w:hint="default" w:ascii="Cambria Math" w:hAnsi="Cambria Math" w:eastAsia="宋体" w:cs="Times New Roman"/>
                      <w:bCs/>
                      <w:sz w:val="24"/>
                      <w:rtl w:val="0"/>
                    </w:rPr>
                  </m:ctrlPr>
                </m:sSubPr>
                <m:e>
                  <m:r>
                    <m:rPr>
                      <m:sty m:val="p"/>
                    </m:rPr>
                    <w:rPr>
                      <w:rFonts w:hint="default" w:ascii="Times New Roman" w:hAnsi="Times New Roman" w:eastAsia="宋体" w:cs="Times New Roman"/>
                      <w:sz w:val="24"/>
                      <w:rtl w:val="0"/>
                    </w:rPr>
                    <m:t>S</m:t>
                  </m:r>
                  <m:ctrlPr>
                    <w:rPr>
                      <w:rFonts w:hint="default" w:ascii="Cambria Math" w:hAnsi="Cambria Math" w:eastAsia="宋体" w:cs="Times New Roman"/>
                      <w:bCs/>
                      <w:sz w:val="24"/>
                      <w:rtl w:val="0"/>
                    </w:rPr>
                  </m:ctrlPr>
                </m:e>
                <m:sub>
                  <m:r>
                    <m:rPr>
                      <m:sty m:val="p"/>
                    </m:rPr>
                    <w:rPr>
                      <w:rFonts w:hint="default" w:ascii="Times New Roman" w:hAnsi="Times New Roman" w:eastAsia="宋体" w:cs="Times New Roman"/>
                      <w:sz w:val="24"/>
                      <w:rtl w:val="0"/>
                    </w:rPr>
                    <m:t>other</m:t>
                  </m:r>
                  <m:ctrlPr>
                    <w:rPr>
                      <w:rFonts w:hint="default" w:ascii="Cambria Math" w:hAnsi="Cambria Math" w:eastAsia="宋体" w:cs="Times New Roman"/>
                      <w:bCs/>
                      <w:sz w:val="24"/>
                      <w:rtl w:val="0"/>
                    </w:rPr>
                  </m:ctrlPr>
                </m:sub>
              </m:sSub>
              <m:r>
                <m:rPr>
                  <m:sty m:val="p"/>
                </m:rPr>
                <w:rPr>
                  <w:rFonts w:hint="default" w:ascii="Times New Roman" w:hAnsi="Times New Roman" w:eastAsia="宋体" w:cs="Times New Roman"/>
                  <w:sz w:val="24"/>
                  <w:rtl w:val="0"/>
                </w:rPr>
                <m:t>}</m:t>
              </m:r>
            </m:oMath>
            <w:r>
              <w:rPr>
                <w:rFonts w:hint="default" w:ascii="Times New Roman" w:hAnsi="Times New Roman" w:eastAsia="宋体" w:cs="Times New Roman"/>
                <w:bCs/>
                <w:sz w:val="24"/>
                <w:rtl w:val="0"/>
              </w:rPr>
              <w:t xml:space="preserve"> 下发，为客户端提供异构风格来源。</w:t>
            </w:r>
          </w:p>
          <w:p w14:paraId="17B89B25">
            <w:pPr>
              <w:spacing w:line="400" w:lineRule="exact"/>
              <w:ind w:firstLine="480" w:firstLineChars="200"/>
              <w:rPr>
                <w:rFonts w:hint="default" w:ascii="Times New Roman" w:hAnsi="Times New Roman" w:eastAsia="宋体" w:cs="Times New Roman"/>
                <w:bCs/>
                <w:sz w:val="24"/>
                <w:rtl w:val="0"/>
              </w:rPr>
            </w:pPr>
            <w:r>
              <w:rPr>
                <w:rFonts w:hint="default" w:ascii="Times New Roman" w:hAnsi="Times New Roman" w:eastAsia="宋体" w:cs="Times New Roman"/>
                <w:bCs/>
                <w:sz w:val="24"/>
                <w:rtl w:val="0"/>
              </w:rPr>
              <w:t>其次是客户端本地训练阶段。 客户端</w:t>
            </w:r>
            <m:oMath>
              <m:r>
                <m:rPr/>
                <w:rPr>
                  <w:rFonts w:hint="default" w:ascii="Cambria Math" w:hAnsi="Cambria Math" w:eastAsia="宋体"/>
                  <w:sz w:val="24"/>
                </w:rPr>
                <m:t>k</m:t>
              </m:r>
            </m:oMath>
            <w:r>
              <w:rPr>
                <w:rFonts w:hint="default" w:ascii="Times New Roman" w:hAnsi="Times New Roman" w:eastAsia="宋体" w:cs="Times New Roman"/>
                <w:bCs/>
                <w:sz w:val="24"/>
                <w:rtl w:val="0"/>
              </w:rPr>
              <w:t xml:space="preserve"> 接收参数后，对输入图像 </w:t>
            </w:r>
            <m:oMath>
              <m:r>
                <m:rPr/>
                <w:rPr>
                  <w:rFonts w:hint="default" w:ascii="Cambria Math" w:hAnsi="Cambria Math" w:eastAsia="宋体"/>
                  <w:sz w:val="24"/>
                </w:rPr>
                <m:t>x</m:t>
              </m:r>
            </m:oMath>
            <w:r>
              <w:rPr>
                <w:rFonts w:hint="default" w:ascii="Times New Roman" w:hAnsi="Times New Roman" w:eastAsia="宋体" w:cs="Times New Roman"/>
                <w:bCs/>
                <w:sz w:val="24"/>
                <w:rtl w:val="0"/>
              </w:rPr>
              <w:t xml:space="preserve"> 执行双头几何正交解耦，通过骨干与双头结构分别获取内容特征 </w:t>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con</m:t>
                  </m:r>
                  <m:ctrlPr>
                    <w:rPr>
                      <w:rFonts w:ascii="Cambria Math" w:hAnsi="Cambria Math" w:eastAsia="宋体"/>
                      <w:sz w:val="24"/>
                    </w:rPr>
                  </m:ctrlPr>
                </m:sub>
              </m:sSub>
            </m:oMath>
            <w:r>
              <w:rPr>
                <w:rFonts w:hint="default" w:ascii="Times New Roman" w:hAnsi="Times New Roman" w:eastAsia="宋体" w:cs="Times New Roman"/>
                <w:bCs/>
                <w:sz w:val="24"/>
                <w:rtl w:val="0"/>
              </w:rPr>
              <w:t xml:space="preserve"> 与风格特征 </w:t>
            </w:r>
            <m:oMath>
              <m:sSub>
                <m:sSubPr>
                  <m:ctrlPr>
                    <w:rPr>
                      <w:rFonts w:hint="default" w:ascii="Cambria Math" w:hAnsi="Cambria Math" w:eastAsia="宋体"/>
                      <w:sz w:val="24"/>
                    </w:rPr>
                  </m:ctrlPr>
                </m:sSubPr>
                <m:e>
                  <m:r>
                    <m:rPr/>
                    <w:rPr>
                      <w:rFonts w:hint="default" w:ascii="Cambria Math" w:hAnsi="Cambria Math" w:eastAsia="宋体"/>
                      <w:sz w:val="24"/>
                    </w:rPr>
                    <m:t>z</m:t>
                  </m:r>
                  <m:ctrlPr>
                    <w:rPr>
                      <w:rFonts w:ascii="Cambria Math" w:hAnsi="Cambria Math" w:eastAsia="宋体"/>
                      <w:sz w:val="24"/>
                    </w:rPr>
                  </m:ctrlPr>
                </m:e>
                <m:sub>
                  <m:r>
                    <m:rPr/>
                    <w:rPr>
                      <w:rFonts w:hint="default" w:ascii="Cambria Math" w:hAnsi="Cambria Math" w:eastAsia="宋体"/>
                      <w:sz w:val="24"/>
                    </w:rPr>
                    <m:t>sty</m:t>
                  </m:r>
                  <m:ctrlPr>
                    <w:rPr>
                      <w:rFonts w:ascii="Cambria Math" w:hAnsi="Cambria Math" w:eastAsia="宋体"/>
                      <w:sz w:val="24"/>
                    </w:rPr>
                  </m:ctrlPr>
                </m:sub>
              </m:sSub>
            </m:oMath>
            <w:r>
              <w:rPr>
                <w:rFonts w:hint="default" w:ascii="Times New Roman" w:hAnsi="Times New Roman" w:eastAsia="宋体" w:cs="Times New Roman"/>
                <w:bCs/>
                <w:sz w:val="24"/>
                <w:rtl w:val="0"/>
              </w:rPr>
              <w:t>。为保证解耦的纯粹性，引入正交约束损失</w:t>
            </w:r>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orth</m:t>
                  </m:r>
                  <m:ctrlPr>
                    <w:rPr>
                      <w:rFonts w:ascii="Cambria Math" w:hAnsi="Cambria Math" w:eastAsia="宋体"/>
                      <w:sz w:val="24"/>
                    </w:rPr>
                  </m:ctrlPr>
                </m:sub>
              </m:sSub>
            </m:oMath>
            <w:r>
              <w:rPr>
                <w:rFonts w:hint="default" w:ascii="Times New Roman" w:hAnsi="Times New Roman" w:eastAsia="宋体" w:cs="Times New Roman"/>
                <w:bCs/>
                <w:sz w:val="24"/>
                <w:rtl w:val="0"/>
              </w:rPr>
              <w:t>，强制两组特征在几何空间上垂直：</w:t>
            </w:r>
          </w:p>
          <w:p w14:paraId="16F82D5B">
            <w:pPr>
              <w:spacing w:line="400" w:lineRule="exact"/>
              <w:ind w:firstLine="480" w:firstLineChars="200"/>
              <w:rPr>
                <w:rFonts w:hint="default" w:ascii="Times New Roman" w:hAnsi="Times New Roman" w:eastAsia="宋体" w:cs="Times New Roman"/>
                <w:bCs/>
                <w:sz w:val="24"/>
                <w:rtl w:val="0"/>
              </w:rPr>
            </w:pPr>
          </w:p>
          <w:p w14:paraId="61E69297">
            <w:pPr>
              <w:spacing w:line="400" w:lineRule="exact"/>
              <w:rPr>
                <w:rFonts w:hint="default" w:hAnsi="Cambria Math"/>
                <w:i w:val="0"/>
                <w:sz w:val="24"/>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orth</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d>
                      <m:dPr>
                        <m:begChr m:val="‖"/>
                        <m:endChr m:val="‖"/>
                        <m:ctrlPr>
                          <w:rPr>
                            <w:rFonts w:hint="default" w:ascii="Cambria Math" w:hAnsi="Cambria Math"/>
                            <w:i/>
                            <w:sz w:val="24"/>
                          </w:rPr>
                        </m:ctrlPr>
                      </m:dPr>
                      <m:e>
                        <m:f>
                          <m:fPr>
                            <m:ctrlPr>
                              <w:rPr>
                                <w:rFonts w:hint="default" w:ascii="Cambria Math" w:hAnsi="Cambria Math"/>
                                <w:i/>
                                <w:sz w:val="24"/>
                              </w:rPr>
                            </m:ctrlPr>
                          </m:fPr>
                          <m:num>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con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Sub>
                            <m:ctrlPr>
                              <w:rPr>
                                <w:rFonts w:hint="default" w:ascii="Cambria Math" w:hAnsi="Cambria Math"/>
                                <w:sz w:val="24"/>
                              </w:rPr>
                            </m:ctrlPr>
                          </m:num>
                          <m:den>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con</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Sub>
                            <m:sSub>
                              <m:sSubPr>
                                <m:ctrlPr>
                                  <w:rPr>
                                    <w:rFonts w:hint="default" w:ascii="Cambria Math" w:hAnsi="Cambria Math"/>
                                    <w:sz w:val="24"/>
                                  </w:rPr>
                                </m:ctrlPr>
                              </m:sSubPr>
                              <m:e>
                                <m:r>
                                  <m:rPr/>
                                  <w:rPr>
                                    <w:rFonts w:hint="default" w:ascii="Cambria Math" w:hAnsi="Cambria Math"/>
                                    <w:sz w:val="24"/>
                                  </w:rPr>
                                  <m:t>‖</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den>
                        </m:f>
                        <m:ctrlPr>
                          <w:rPr>
                            <w:rFonts w:hint="default" w:ascii="Cambria Math" w:hAnsi="Cambria Math"/>
                            <w:i/>
                            <w:sz w:val="24"/>
                          </w:rPr>
                        </m:ctrlPr>
                      </m:e>
                    </m:d>
                    <m:ctrlPr>
                      <w:rPr>
                        <w:rFonts w:hint="default" w:ascii="Cambria Math" w:hAnsi="Cambria Math"/>
                        <w:i/>
                        <w:sz w:val="24"/>
                      </w:rPr>
                    </m:ctrlPr>
                  </m:e>
                  <m:sup>
                    <m:r>
                      <m:rPr/>
                      <w:rPr>
                        <w:rFonts w:hint="default" w:ascii="Cambria Math" w:hAnsi="Cambria Math"/>
                        <w:sz w:val="24"/>
                      </w:rPr>
                      <m:t>2</m:t>
                    </m:r>
                    <m:ctrlPr>
                      <w:rPr>
                        <w:rFonts w:hint="default" w:ascii="Cambria Math" w:hAnsi="Cambria Math"/>
                        <w:i/>
                        <w:sz w:val="24"/>
                      </w:rPr>
                    </m:ctrlPr>
                  </m:sup>
                </m:sSup>
              </m:oMath>
            </m:oMathPara>
          </w:p>
          <w:p w14:paraId="51427401">
            <w:pPr>
              <w:spacing w:line="400" w:lineRule="exact"/>
              <w:rPr>
                <w:rFonts w:hint="default" w:hAnsi="Cambria Math"/>
                <w:i w:val="0"/>
                <w:sz w:val="24"/>
                <w:rtl w:val="0"/>
              </w:rPr>
            </w:pPr>
          </w:p>
          <w:p w14:paraId="511CD3D5">
            <w:pPr>
              <w:spacing w:line="400" w:lineRule="exact"/>
              <w:ind w:firstLine="480" w:firstLineChars="200"/>
              <w:rPr>
                <w:rFonts w:hint="default"/>
                <w:b w:val="0"/>
                <w:bCs/>
                <w:sz w:val="24"/>
                <w:rtl w:val="0"/>
              </w:rPr>
            </w:pPr>
            <w:r>
              <w:rPr>
                <w:rFonts w:hint="default"/>
                <w:b w:val="0"/>
                <w:bCs/>
                <w:sz w:val="24"/>
                <w:rtl w:val="0"/>
              </w:rPr>
              <w:t xml:space="preserve">在此基础上，客户端利用下发的外部风格原型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ext</m:t>
                  </m:r>
                  <m:ctrlPr>
                    <w:rPr>
                      <w:rFonts w:ascii="Cambria Math" w:hAnsi="Cambria Math"/>
                      <w:sz w:val="24"/>
                    </w:rPr>
                  </m:ctrlPr>
                </m:sub>
              </m:sSub>
            </m:oMath>
            <w:r>
              <w:rPr>
                <w:rFonts w:hint="default"/>
                <w:b w:val="0"/>
                <w:bCs/>
                <w:sz w:val="24"/>
                <w:rtl w:val="0"/>
              </w:rPr>
              <w:t xml:space="preserve"> 合成虚拟特征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aug</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con</m:t>
                  </m:r>
                  <m:ctrlPr>
                    <w:rPr>
                      <w:rFonts w:ascii="Cambria Math" w:hAnsi="Cambria Math"/>
                      <w:sz w:val="24"/>
                    </w:rPr>
                  </m:ctrlPr>
                </m:sub>
              </m:sSub>
              <m:r>
                <m:rPr/>
                <w:rPr>
                  <w:rFonts w:hint="default" w:ascii="Cambria Math" w:hAnsi="Cambria Math"/>
                  <w:sz w:val="24"/>
                </w:rPr>
                <m:t>+λ⋅</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ext</m:t>
                  </m:r>
                  <m:ctrlPr>
                    <w:rPr>
                      <w:rFonts w:ascii="Cambria Math" w:hAnsi="Cambria Math"/>
                      <w:sz w:val="24"/>
                    </w:rPr>
                  </m:ctrlPr>
                </m:sub>
              </m:sSub>
            </m:oMath>
            <w:r>
              <w:rPr>
                <w:rFonts w:hint="default"/>
                <w:b w:val="0"/>
                <w:bCs/>
                <w:sz w:val="24"/>
                <w:rtl w:val="0"/>
              </w:rPr>
              <w:t>，实现保留本地内容，</w:t>
            </w:r>
            <w:r>
              <w:rPr>
                <w:rFonts w:hint="eastAsia"/>
                <w:b w:val="0"/>
                <w:bCs/>
                <w:sz w:val="24"/>
                <w:rtl w:val="0"/>
                <w:lang w:val="en-US" w:eastAsia="zh-CN"/>
              </w:rPr>
              <w:t>但是风格进行了转换</w:t>
            </w:r>
            <w:r>
              <w:rPr>
                <w:rFonts w:hint="default"/>
                <w:b w:val="0"/>
                <w:bCs/>
                <w:sz w:val="24"/>
                <w:rtl w:val="0"/>
              </w:rPr>
              <w:t>的跨域风格交换增强。</w:t>
            </w:r>
          </w:p>
          <w:p w14:paraId="1A100916">
            <w:pPr>
              <w:spacing w:line="400" w:lineRule="exact"/>
              <w:ind w:firstLine="480" w:firstLineChars="200"/>
              <w:rPr>
                <w:rFonts w:hint="eastAsia" w:eastAsia="宋体"/>
                <w:b w:val="0"/>
                <w:bCs/>
                <w:sz w:val="24"/>
                <w:rtl w:val="0"/>
                <w:lang w:eastAsia="zh-CN"/>
              </w:rPr>
            </w:pPr>
            <w:r>
              <w:rPr>
                <w:rFonts w:hint="default"/>
                <w:b w:val="0"/>
                <w:bCs/>
                <w:sz w:val="24"/>
                <w:rtl w:val="0"/>
              </w:rPr>
              <w:t>训练过程采用多目标优化策略，总损失函数定义为</w:t>
            </w:r>
            <w:r>
              <w:rPr>
                <w:rFonts w:hint="eastAsia"/>
                <w:b w:val="0"/>
                <w:bCs/>
                <w:sz w:val="24"/>
                <w:rtl w:val="0"/>
                <w:lang w:eastAsia="zh-CN"/>
              </w:rPr>
              <w:t>：</w:t>
            </w:r>
          </w:p>
          <w:p w14:paraId="41EA1187">
            <w:pPr>
              <w:spacing w:line="400" w:lineRule="exact"/>
              <w:ind w:firstLine="480" w:firstLineChars="200"/>
              <w:jc w:val="center"/>
              <w:rPr>
                <w:rFonts w:hint="default"/>
                <w:b w:val="0"/>
                <w:bCs/>
                <w:sz w:val="24"/>
                <w:rtl w:val="0"/>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total</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task</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orth</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sem_con</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λ</m:t>
                    </m:r>
                    <m:ctrlPr>
                      <w:rPr>
                        <w:rFonts w:ascii="Cambria Math" w:hAnsi="Cambria Math"/>
                        <w:sz w:val="24"/>
                      </w:rPr>
                    </m:ctrlPr>
                  </m:e>
                  <m:sub>
                    <m:r>
                      <m:rPr/>
                      <w:rPr>
                        <w:rFonts w:hint="default" w:ascii="Cambria Math" w:hAnsi="Cambria Math"/>
                        <w:sz w:val="24"/>
                      </w:rPr>
                      <m:t>3</m:t>
                    </m:r>
                    <m:ctrlPr>
                      <w:rPr>
                        <w:rFonts w:ascii="Cambria Math" w:hAnsi="Cambria Math"/>
                        <w:sz w:val="24"/>
                      </w:rPr>
                    </m:ctrlPr>
                  </m:sub>
                </m:sSub>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sty_con</m:t>
                    </m:r>
                    <m:ctrlPr>
                      <w:rPr>
                        <w:rFonts w:ascii="Cambria Math" w:hAnsi="Cambria Math"/>
                        <w:sz w:val="24"/>
                      </w:rPr>
                    </m:ctrlPr>
                  </m:sub>
                </m:sSub>
              </m:oMath>
            </m:oMathPara>
          </w:p>
          <w:p w14:paraId="3EF0F305">
            <w:pPr>
              <w:spacing w:line="400" w:lineRule="exact"/>
              <w:ind w:firstLine="480" w:firstLineChars="200"/>
              <w:rPr>
                <w:rFonts w:hint="default"/>
                <w:b w:val="0"/>
                <w:bCs/>
                <w:sz w:val="24"/>
                <w:rtl w:val="0"/>
              </w:rPr>
            </w:pPr>
            <w:r>
              <w:rPr>
                <w:rFonts w:hint="default"/>
                <w:b w:val="0"/>
                <w:bCs/>
                <w:sz w:val="24"/>
                <w:rtl w:val="0"/>
              </w:rPr>
              <w:t>其中，</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task</m:t>
                  </m:r>
                  <m:ctrlPr>
                    <w:rPr>
                      <w:rFonts w:ascii="Cambria Math" w:hAnsi="Cambria Math"/>
                      <w:sz w:val="24"/>
                    </w:rPr>
                  </m:ctrlPr>
                </m:sub>
              </m:sSub>
            </m:oMath>
            <w:r>
              <w:rPr>
                <w:rFonts w:hint="default"/>
                <w:b w:val="0"/>
                <w:bCs/>
                <w:sz w:val="24"/>
                <w:rtl w:val="0"/>
              </w:rPr>
              <w:t xml:space="preserve"> 确保分类器对原始及增强特征均具有鲁棒性；</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sem_con</m:t>
                  </m:r>
                  <m:ctrlPr>
                    <w:rPr>
                      <w:rFonts w:ascii="Cambria Math" w:hAnsi="Cambria Math"/>
                      <w:sz w:val="24"/>
                    </w:rPr>
                  </m:ctrlPr>
                </m:sub>
              </m:sSub>
            </m:oMath>
            <w:r>
              <w:rPr>
                <w:rFonts w:hint="default"/>
                <w:b w:val="0"/>
                <w:bCs/>
                <w:sz w:val="24"/>
                <w:rtl w:val="0"/>
              </w:rPr>
              <w:t xml:space="preserve"> 通过对比学习将本地内容特征与全局内容原型软对齐；</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sty_con</m:t>
                  </m:r>
                  <m:ctrlPr>
                    <w:rPr>
                      <w:rFonts w:ascii="Cambria Math" w:hAnsi="Cambria Math"/>
                      <w:sz w:val="24"/>
                    </w:rPr>
                  </m:ctrlPr>
                </m:sub>
              </m:sSub>
            </m:oMath>
            <w:r>
              <w:rPr>
                <w:rFonts w:hint="default"/>
                <w:b w:val="0"/>
                <w:bCs/>
                <w:sz w:val="24"/>
                <w:rtl w:val="0"/>
              </w:rPr>
              <w:t xml:space="preserve"> 则拉近风格特征与本地风格中心并推开外来风格，迫使风格头专注于提取域特有信息。训练结束后，客户端计算并上传更新后的模型参数（不含 BN）及更新后的本地内容原型 </w:t>
            </w:r>
            <m:oMath>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con</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oMath>
            <w:r>
              <w:rPr>
                <w:rFonts w:hint="default"/>
                <w:b w:val="0"/>
                <w:bCs/>
                <w:sz w:val="24"/>
                <w:rtl w:val="0"/>
              </w:rPr>
              <w:t xml:space="preserve"> 和风格原型 </w:t>
            </w:r>
            <m:oMath>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oMath>
            <w:r>
              <w:rPr>
                <w:rFonts w:hint="default"/>
                <w:b w:val="0"/>
                <w:bCs/>
                <w:sz w:val="24"/>
                <w:rtl w:val="0"/>
              </w:rPr>
              <w:t>。</w:t>
            </w:r>
          </w:p>
          <w:p w14:paraId="4B4008B0">
            <w:pPr>
              <w:spacing w:line="400" w:lineRule="exact"/>
              <w:ind w:firstLine="480" w:firstLineChars="200"/>
              <w:rPr>
                <w:bCs/>
                <w:sz w:val="24"/>
              </w:rPr>
            </w:pPr>
            <w:r>
              <w:rPr>
                <w:rFonts w:hint="default"/>
                <w:b w:val="0"/>
                <w:bCs/>
                <w:sz w:val="24"/>
                <w:rtl w:val="0"/>
              </w:rPr>
              <w:t xml:space="preserve">最后是服务器聚合与资产管理阶段。服务器接收数据后执行差异化参数聚合：仅对骨干网络卷积层和语义头参数执行 FedAvg 聚合，而保持风格头参数私有以维护域特异性。同时，服务器通过平均各方上传的 </w:t>
            </w:r>
            <m:oMath>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con</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oMath>
            <w:r>
              <w:rPr>
                <w:rFonts w:hint="default"/>
                <w:b w:val="0"/>
                <w:bCs/>
                <w:sz w:val="24"/>
                <w:rtl w:val="0"/>
              </w:rPr>
              <w:t xml:space="preserve"> 来更新全局内容原型 </w:t>
            </w:r>
            <m:oMath>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con</m:t>
                  </m:r>
                  <m:ctrlPr>
                    <w:rPr>
                      <w:rFonts w:ascii="Cambria Math" w:hAnsi="Cambria Math"/>
                      <w:sz w:val="24"/>
                    </w:rPr>
                  </m:ctrlPr>
                </m:sub>
                <m:sup>
                  <m:r>
                    <m:rPr/>
                    <w:rPr>
                      <w:rFonts w:hint="default" w:ascii="Cambria Math" w:hAnsi="Cambria Math"/>
                      <w:sz w:val="24"/>
                    </w:rPr>
                    <m:t>global</m:t>
                  </m:r>
                  <m:ctrlPr>
                    <w:rPr>
                      <w:rFonts w:ascii="Cambria Math" w:hAnsi="Cambria Math"/>
                      <w:sz w:val="24"/>
                    </w:rPr>
                  </m:ctrlPr>
                </m:sup>
              </m:sSubSup>
            </m:oMath>
            <w:r>
              <w:rPr>
                <w:rFonts w:hint="default"/>
                <w:b w:val="0"/>
                <w:bCs/>
                <w:sz w:val="24"/>
                <w:rtl w:val="0"/>
              </w:rPr>
              <w:t xml:space="preserve">，并对收集到的风格原型 </w:t>
            </w:r>
            <m:oMath>
              <m:sSubSup>
                <m:sSubSupPr>
                  <m:ctrlPr>
                    <w:rPr>
                      <w:rFonts w:hint="default" w:ascii="Cambria Math" w:hAnsi="Cambria Math"/>
                      <w:sz w:val="24"/>
                    </w:rPr>
                  </m:ctrlPr>
                </m:sSubSup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sty</m:t>
                  </m:r>
                  <m:ctrlPr>
                    <w:rPr>
                      <w:rFonts w:ascii="Cambria Math" w:hAnsi="Cambria Math"/>
                      <w:sz w:val="24"/>
                    </w:rPr>
                  </m:ctrlPr>
                </m:sub>
                <m:sup>
                  <m:r>
                    <m:rPr/>
                    <w:rPr>
                      <w:rFonts w:hint="default" w:ascii="Cambria Math" w:hAnsi="Cambria Math"/>
                      <w:sz w:val="24"/>
                    </w:rPr>
                    <m:t>k</m:t>
                  </m:r>
                  <m:ctrlPr>
                    <w:rPr>
                      <w:rFonts w:ascii="Cambria Math" w:hAnsi="Cambria Math"/>
                      <w:sz w:val="24"/>
                    </w:rPr>
                  </m:ctrlPr>
                </m:sup>
              </m:sSubSup>
            </m:oMath>
            <w:r>
              <w:rPr>
                <w:rFonts w:hint="default"/>
                <w:b w:val="0"/>
                <w:bCs/>
                <w:sz w:val="24"/>
                <w:rtl w:val="0"/>
              </w:rPr>
              <w:t xml:space="preserve"> 进行余弦相似度去重（例如阈值 &gt; 0.95），将独特的风格存入风格</w:t>
            </w:r>
            <w:r>
              <w:rPr>
                <w:rFonts w:hint="eastAsia"/>
                <w:b w:val="0"/>
                <w:bCs/>
                <w:sz w:val="24"/>
                <w:rtl w:val="0"/>
                <w:lang w:eastAsia="zh-CN"/>
              </w:rPr>
              <w:t>仓库</w:t>
            </w:r>
            <w:r>
              <w:rPr>
                <w:rFonts w:hint="default"/>
                <w:b w:val="0"/>
                <w:bCs/>
                <w:sz w:val="24"/>
                <w:rtl w:val="0"/>
              </w:rPr>
              <w:t xml:space="preserve"> </w:t>
            </w:r>
            <m:oMath>
              <m:r>
                <m:rPr>
                  <m:scr m:val="script"/>
                </m:rPr>
                <w:rPr>
                  <w:rFonts w:hint="default" w:ascii="Cambria Math" w:hAnsi="Cambria Math" w:eastAsia="MS Mincho"/>
                  <w:sz w:val="24"/>
                </w:rPr>
                <m:t>ℬ</m:t>
              </m:r>
            </m:oMath>
            <w:r>
              <w:rPr>
                <w:rFonts w:hint="default"/>
                <w:b w:val="0"/>
                <w:bCs/>
                <w:sz w:val="24"/>
                <w:rtl w:val="0"/>
              </w:rPr>
              <w:t>，完成资产库的迭代丰富。</w:t>
            </w:r>
          </w:p>
          <w:p w14:paraId="471F1C23">
            <w:pPr>
              <w:spacing w:line="400" w:lineRule="exact"/>
              <w:rPr>
                <w:rFonts w:hint="eastAsia"/>
                <w:bCs/>
                <w:sz w:val="24"/>
              </w:rPr>
            </w:pPr>
          </w:p>
        </w:tc>
      </w:tr>
      <w:tr w14:paraId="61F220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526" w:type="dxa"/>
            <w:gridSpan w:val="3"/>
            <w:noWrap w:val="0"/>
            <w:vAlign w:val="top"/>
          </w:tcPr>
          <w:p w14:paraId="09CD40A7">
            <w:pPr>
              <w:numPr>
                <w:ilvl w:val="0"/>
                <w:numId w:val="1"/>
              </w:numPr>
              <w:spacing w:line="400" w:lineRule="exact"/>
              <w:rPr>
                <w:rFonts w:eastAsia="黑体"/>
                <w:b/>
                <w:bCs/>
                <w:sz w:val="32"/>
              </w:rPr>
            </w:pPr>
            <w:r>
              <w:rPr>
                <w:rFonts w:hint="eastAsia" w:eastAsia="黑体"/>
                <w:b/>
                <w:bCs/>
                <w:sz w:val="32"/>
              </w:rPr>
              <w:t>论文</w:t>
            </w:r>
            <w:r>
              <w:rPr>
                <w:rFonts w:eastAsia="黑体"/>
                <w:b/>
                <w:bCs/>
                <w:sz w:val="32"/>
              </w:rPr>
              <w:t>框架结构</w:t>
            </w:r>
          </w:p>
          <w:p w14:paraId="745F700E">
            <w:pPr>
              <w:widowControl w:val="0"/>
              <w:numPr>
                <w:numId w:val="0"/>
              </w:numPr>
              <w:spacing w:line="400" w:lineRule="exact"/>
              <w:jc w:val="both"/>
              <w:rPr>
                <w:rFonts w:eastAsia="黑体"/>
                <w:b/>
                <w:bCs/>
                <w:sz w:val="32"/>
              </w:rPr>
            </w:pPr>
          </w:p>
          <w:p w14:paraId="00000041">
            <w:pPr>
              <w:spacing w:line="400" w:lineRule="exact"/>
              <w:rPr>
                <w:b/>
                <w:bCs w:val="0"/>
                <w:sz w:val="24"/>
              </w:rPr>
            </w:pPr>
            <w:r>
              <w:rPr>
                <w:b/>
                <w:bCs w:val="0"/>
                <w:sz w:val="24"/>
                <w:rtl w:val="0"/>
              </w:rPr>
              <w:t>第一章 绪论</w:t>
            </w:r>
          </w:p>
          <w:p w14:paraId="00000042">
            <w:pPr>
              <w:spacing w:line="400" w:lineRule="exact"/>
              <w:rPr>
                <w:bCs/>
                <w:sz w:val="24"/>
              </w:rPr>
            </w:pPr>
            <w:r>
              <w:rPr>
                <w:bCs/>
                <w:sz w:val="24"/>
                <w:rtl w:val="0"/>
              </w:rPr>
              <w:t>1.1 研究背景：联邦学习的发展与数据孤岛问题</w:t>
            </w:r>
          </w:p>
          <w:p w14:paraId="00000043">
            <w:pPr>
              <w:spacing w:line="400" w:lineRule="exact"/>
              <w:rPr>
                <w:bCs/>
                <w:sz w:val="24"/>
              </w:rPr>
            </w:pPr>
            <w:r>
              <w:rPr>
                <w:bCs/>
                <w:sz w:val="24"/>
                <w:rtl w:val="0"/>
              </w:rPr>
              <w:t>1.2 问题陈述：跨域场景下的特征耦合与风格利用瓶颈</w:t>
            </w:r>
          </w:p>
          <w:p w14:paraId="00000044">
            <w:pPr>
              <w:spacing w:line="400" w:lineRule="exact"/>
              <w:rPr>
                <w:bCs/>
                <w:sz w:val="24"/>
              </w:rPr>
            </w:pPr>
            <w:r>
              <w:rPr>
                <w:bCs/>
                <w:sz w:val="24"/>
                <w:rtl w:val="0"/>
              </w:rPr>
              <w:t>1.3 研究意义与目标</w:t>
            </w:r>
          </w:p>
          <w:p w14:paraId="00000045">
            <w:pPr>
              <w:spacing w:line="400" w:lineRule="exact"/>
              <w:rPr>
                <w:bCs/>
                <w:sz w:val="24"/>
              </w:rPr>
            </w:pPr>
            <w:r>
              <w:rPr>
                <w:bCs/>
                <w:sz w:val="24"/>
                <w:rtl w:val="0"/>
              </w:rPr>
              <w:t>1.4 论文组织结构</w:t>
            </w:r>
          </w:p>
          <w:p w14:paraId="00000046">
            <w:pPr>
              <w:spacing w:line="400" w:lineRule="exact"/>
              <w:rPr>
                <w:b/>
                <w:bCs w:val="0"/>
                <w:sz w:val="24"/>
              </w:rPr>
            </w:pPr>
            <w:r>
              <w:rPr>
                <w:b/>
                <w:bCs w:val="0"/>
                <w:sz w:val="24"/>
                <w:rtl w:val="0"/>
              </w:rPr>
              <w:t>第二章 相关工作综述</w:t>
            </w:r>
          </w:p>
          <w:p w14:paraId="00000047">
            <w:pPr>
              <w:spacing w:line="400" w:lineRule="exact"/>
              <w:rPr>
                <w:bCs/>
                <w:sz w:val="24"/>
              </w:rPr>
            </w:pPr>
            <w:r>
              <w:rPr>
                <w:bCs/>
                <w:sz w:val="24"/>
                <w:rtl w:val="0"/>
              </w:rPr>
              <w:t>2.1 联邦学习基础与异构性挑战（FedAvg, FedProx, FedBN）</w:t>
            </w:r>
          </w:p>
          <w:p w14:paraId="00000048">
            <w:pPr>
              <w:spacing w:line="400" w:lineRule="exact"/>
              <w:rPr>
                <w:bCs/>
                <w:sz w:val="24"/>
              </w:rPr>
            </w:pPr>
            <w:r>
              <w:rPr>
                <w:bCs/>
                <w:sz w:val="24"/>
                <w:rtl w:val="0"/>
              </w:rPr>
              <w:t>2.2 联邦原型学习研究现状（FedProto, FPL, FedPLVM）</w:t>
            </w:r>
          </w:p>
          <w:p w14:paraId="00000049">
            <w:pPr>
              <w:spacing w:line="400" w:lineRule="exact"/>
              <w:rPr>
                <w:bCs/>
                <w:sz w:val="24"/>
              </w:rPr>
            </w:pPr>
            <w:r>
              <w:rPr>
                <w:bCs/>
                <w:sz w:val="24"/>
                <w:rtl w:val="0"/>
              </w:rPr>
              <w:t>2.3 特征解耦与域适应技术（FedSTAR, FedFSL-CFRD, FDSE）</w:t>
            </w:r>
          </w:p>
          <w:p w14:paraId="0000004A">
            <w:pPr>
              <w:spacing w:line="400" w:lineRule="exact"/>
              <w:rPr>
                <w:bCs/>
                <w:sz w:val="24"/>
              </w:rPr>
            </w:pPr>
            <w:r>
              <w:rPr>
                <w:bCs/>
                <w:sz w:val="24"/>
                <w:rtl w:val="0"/>
              </w:rPr>
              <w:t>2.4 现有方法的局限性分析</w:t>
            </w:r>
          </w:p>
          <w:p w14:paraId="0000004B">
            <w:pPr>
              <w:spacing w:line="400" w:lineRule="exact"/>
              <w:rPr>
                <w:b/>
                <w:bCs w:val="0"/>
                <w:sz w:val="24"/>
              </w:rPr>
            </w:pPr>
            <w:r>
              <w:rPr>
                <w:b/>
                <w:bCs w:val="0"/>
                <w:sz w:val="24"/>
                <w:rtl w:val="0"/>
              </w:rPr>
              <w:t>第三章 基于正交约束的显式双原型解耦表征</w:t>
            </w:r>
          </w:p>
          <w:p w14:paraId="0000004C">
            <w:pPr>
              <w:spacing w:line="400" w:lineRule="exact"/>
              <w:rPr>
                <w:bCs/>
                <w:sz w:val="24"/>
              </w:rPr>
            </w:pPr>
            <w:r>
              <w:rPr>
                <w:bCs/>
                <w:sz w:val="24"/>
                <w:rtl w:val="0"/>
              </w:rPr>
              <w:t>3.1 问题定义：跨域特征的纠缠现象</w:t>
            </w:r>
          </w:p>
          <w:p w14:paraId="0000004D">
            <w:pPr>
              <w:spacing w:line="400" w:lineRule="exact"/>
              <w:rPr>
                <w:bCs/>
                <w:sz w:val="24"/>
              </w:rPr>
            </w:pPr>
            <w:r>
              <w:rPr>
                <w:bCs/>
                <w:sz w:val="24"/>
                <w:rtl w:val="0"/>
              </w:rPr>
              <w:t>3.2 双头模型架构设计：语义头与风格头</w:t>
            </w:r>
          </w:p>
          <w:p w14:paraId="0000004E">
            <w:pPr>
              <w:spacing w:line="400" w:lineRule="exact"/>
              <w:rPr>
                <w:bCs/>
                <w:sz w:val="24"/>
              </w:rPr>
            </w:pPr>
            <w:r>
              <w:rPr>
                <w:bCs/>
                <w:sz w:val="24"/>
                <w:rtl w:val="0"/>
              </w:rPr>
              <w:t>3.3 双原型定义：内容原型与风格原型的数学表达</w:t>
            </w:r>
          </w:p>
          <w:p w14:paraId="0000004F">
            <w:pPr>
              <w:spacing w:line="400" w:lineRule="exact"/>
              <w:rPr>
                <w:bCs/>
                <w:sz w:val="24"/>
              </w:rPr>
            </w:pPr>
            <w:r>
              <w:rPr>
                <w:bCs/>
                <w:sz w:val="24"/>
                <w:rtl w:val="0"/>
              </w:rPr>
              <w:t>3.4 显式几何正交约束的构建与优化</w:t>
            </w:r>
          </w:p>
          <w:p w14:paraId="00000050">
            <w:pPr>
              <w:spacing w:line="400" w:lineRule="exact"/>
              <w:rPr>
                <w:bCs/>
                <w:sz w:val="24"/>
              </w:rPr>
            </w:pPr>
            <w:r>
              <w:rPr>
                <w:bCs/>
                <w:sz w:val="24"/>
                <w:rtl w:val="0"/>
              </w:rPr>
              <w:t>3.5 双原型的有效性验证与可视化分析</w:t>
            </w:r>
          </w:p>
          <w:p w14:paraId="00000051">
            <w:pPr>
              <w:spacing w:line="400" w:lineRule="exact"/>
              <w:rPr>
                <w:b/>
                <w:bCs w:val="0"/>
                <w:sz w:val="24"/>
              </w:rPr>
            </w:pPr>
            <w:r>
              <w:rPr>
                <w:b/>
                <w:bCs w:val="0"/>
                <w:sz w:val="24"/>
                <w:rtl w:val="0"/>
              </w:rPr>
              <w:t>第四章 全局风格</w:t>
            </w:r>
            <w:r>
              <w:rPr>
                <w:rFonts w:hint="eastAsia"/>
                <w:b/>
                <w:bCs w:val="0"/>
                <w:sz w:val="24"/>
                <w:rtl w:val="0"/>
                <w:lang w:val="en-US" w:eastAsia="zh-CN"/>
              </w:rPr>
              <w:t>仓库</w:t>
            </w:r>
            <w:r>
              <w:rPr>
                <w:b/>
                <w:bCs w:val="0"/>
                <w:sz w:val="24"/>
                <w:rtl w:val="0"/>
              </w:rPr>
              <w:t>与跨域风格交换机制</w:t>
            </w:r>
          </w:p>
          <w:p w14:paraId="00000052">
            <w:pPr>
              <w:spacing w:line="400" w:lineRule="exact"/>
              <w:rPr>
                <w:bCs/>
                <w:sz w:val="24"/>
              </w:rPr>
            </w:pPr>
            <w:r>
              <w:rPr>
                <w:bCs/>
                <w:sz w:val="24"/>
                <w:rtl w:val="0"/>
              </w:rPr>
              <w:t>4.1 风格原型的资产化管理与隐私保护</w:t>
            </w:r>
          </w:p>
          <w:p w14:paraId="00000053">
            <w:pPr>
              <w:spacing w:line="400" w:lineRule="exact"/>
              <w:rPr>
                <w:bCs/>
                <w:sz w:val="24"/>
              </w:rPr>
            </w:pPr>
            <w:r>
              <w:rPr>
                <w:bCs/>
                <w:sz w:val="24"/>
                <w:rtl w:val="0"/>
              </w:rPr>
              <w:t>4.2 跨域风格交换增强算法</w:t>
            </w:r>
          </w:p>
          <w:p w14:paraId="00000054">
            <w:pPr>
              <w:spacing w:line="400" w:lineRule="exact"/>
              <w:rPr>
                <w:bCs/>
                <w:sz w:val="24"/>
              </w:rPr>
            </w:pPr>
            <w:r>
              <w:rPr>
                <w:bCs/>
                <w:sz w:val="24"/>
                <w:rtl w:val="0"/>
              </w:rPr>
              <w:t>4.3 风格多样性对模型泛化能力的贡献分析</w:t>
            </w:r>
          </w:p>
          <w:p w14:paraId="00000055">
            <w:pPr>
              <w:spacing w:line="400" w:lineRule="exact"/>
              <w:rPr>
                <w:b/>
                <w:bCs w:val="0"/>
                <w:sz w:val="24"/>
              </w:rPr>
            </w:pPr>
            <w:r>
              <w:rPr>
                <w:b/>
                <w:bCs w:val="0"/>
                <w:sz w:val="24"/>
                <w:rtl w:val="0"/>
              </w:rPr>
              <w:t>第五章 基于对比学习的语义软对齐聚合</w:t>
            </w:r>
          </w:p>
          <w:p w14:paraId="00000057">
            <w:pPr>
              <w:spacing w:line="400" w:lineRule="exact"/>
              <w:rPr>
                <w:bCs/>
                <w:sz w:val="24"/>
              </w:rPr>
            </w:pPr>
            <w:r>
              <w:rPr>
                <w:bCs/>
                <w:sz w:val="24"/>
                <w:rtl w:val="0"/>
              </w:rPr>
              <w:t>5.</w:t>
            </w:r>
            <w:r>
              <w:rPr>
                <w:rFonts w:hint="eastAsia"/>
                <w:bCs/>
                <w:sz w:val="24"/>
                <w:rtl w:val="0"/>
                <w:lang w:val="en-US" w:eastAsia="zh-CN"/>
              </w:rPr>
              <w:t>1</w:t>
            </w:r>
            <w:r>
              <w:rPr>
                <w:bCs/>
                <w:sz w:val="24"/>
                <w:rtl w:val="0"/>
              </w:rPr>
              <w:t xml:space="preserve"> 语义对比损失函数设计与软对齐策略</w:t>
            </w:r>
          </w:p>
          <w:p w14:paraId="00000058">
            <w:pPr>
              <w:spacing w:line="400" w:lineRule="exact"/>
              <w:rPr>
                <w:bCs/>
                <w:sz w:val="24"/>
              </w:rPr>
            </w:pPr>
            <w:r>
              <w:rPr>
                <w:bCs/>
                <w:sz w:val="24"/>
                <w:rtl w:val="0"/>
              </w:rPr>
              <w:t>5.</w:t>
            </w:r>
            <w:r>
              <w:rPr>
                <w:rFonts w:hint="eastAsia"/>
                <w:bCs/>
                <w:sz w:val="24"/>
                <w:rtl w:val="0"/>
                <w:lang w:val="en-US" w:eastAsia="zh-CN"/>
              </w:rPr>
              <w:t>2</w:t>
            </w:r>
            <w:r>
              <w:rPr>
                <w:bCs/>
                <w:sz w:val="24"/>
                <w:rtl w:val="0"/>
              </w:rPr>
              <w:t xml:space="preserve"> 完整的算法流程</w:t>
            </w:r>
          </w:p>
          <w:p w14:paraId="00000059">
            <w:pPr>
              <w:spacing w:line="400" w:lineRule="exact"/>
              <w:rPr>
                <w:bCs/>
                <w:sz w:val="24"/>
              </w:rPr>
            </w:pPr>
            <w:r>
              <w:rPr>
                <w:bCs/>
                <w:sz w:val="24"/>
                <w:rtl w:val="0"/>
              </w:rPr>
              <w:t>第六章 实验设计与结果分析</w:t>
            </w:r>
          </w:p>
          <w:p w14:paraId="0000005A">
            <w:pPr>
              <w:spacing w:line="400" w:lineRule="exact"/>
              <w:rPr>
                <w:bCs/>
                <w:sz w:val="24"/>
              </w:rPr>
            </w:pPr>
            <w:r>
              <w:rPr>
                <w:bCs/>
                <w:sz w:val="24"/>
                <w:rtl w:val="0"/>
              </w:rPr>
              <w:t>6.1 实验设置（数据集：Digit-5, Office-Caltech, PACS；基线模型）</w:t>
            </w:r>
          </w:p>
          <w:p w14:paraId="0000005B">
            <w:pPr>
              <w:spacing w:line="400" w:lineRule="exact"/>
              <w:rPr>
                <w:bCs/>
                <w:sz w:val="24"/>
              </w:rPr>
            </w:pPr>
            <w:r>
              <w:rPr>
                <w:bCs/>
                <w:sz w:val="24"/>
                <w:rtl w:val="0"/>
              </w:rPr>
              <w:t>6.2 跨域分类精度对比分析</w:t>
            </w:r>
          </w:p>
          <w:p w14:paraId="0000005C">
            <w:pPr>
              <w:spacing w:line="400" w:lineRule="exact"/>
              <w:rPr>
                <w:bCs/>
                <w:sz w:val="24"/>
              </w:rPr>
            </w:pPr>
            <w:r>
              <w:rPr>
                <w:bCs/>
                <w:sz w:val="24"/>
                <w:rtl w:val="0"/>
              </w:rPr>
              <w:t>6.3 消融实验：双原型解耦、风格</w:t>
            </w:r>
            <w:r>
              <w:rPr>
                <w:rFonts w:hint="eastAsia"/>
                <w:bCs/>
                <w:sz w:val="24"/>
                <w:rtl w:val="0"/>
                <w:lang w:val="en-US" w:eastAsia="zh-CN"/>
              </w:rPr>
              <w:t>仓库</w:t>
            </w:r>
            <w:r>
              <w:rPr>
                <w:bCs/>
                <w:sz w:val="24"/>
                <w:rtl w:val="0"/>
              </w:rPr>
              <w:t>、软对齐模块的有效性</w:t>
            </w:r>
          </w:p>
          <w:p w14:paraId="0000005D">
            <w:pPr>
              <w:spacing w:line="400" w:lineRule="exact"/>
              <w:rPr>
                <w:bCs/>
                <w:sz w:val="24"/>
              </w:rPr>
            </w:pPr>
            <w:r>
              <w:rPr>
                <w:bCs/>
                <w:sz w:val="24"/>
                <w:rtl w:val="0"/>
              </w:rPr>
              <w:t>6.4 参数敏感性与通信开销分析</w:t>
            </w:r>
          </w:p>
          <w:p w14:paraId="0000005E">
            <w:pPr>
              <w:spacing w:line="400" w:lineRule="exact"/>
              <w:rPr>
                <w:bCs/>
                <w:sz w:val="24"/>
              </w:rPr>
            </w:pPr>
            <w:r>
              <w:rPr>
                <w:bCs/>
                <w:sz w:val="24"/>
                <w:rtl w:val="0"/>
              </w:rPr>
              <w:t>第七章 总结与展望</w:t>
            </w:r>
          </w:p>
          <w:p w14:paraId="15D24F38">
            <w:pPr>
              <w:spacing w:line="400" w:lineRule="exact"/>
              <w:rPr>
                <w:rFonts w:hint="eastAsia"/>
                <w:bCs/>
                <w:sz w:val="24"/>
              </w:rPr>
            </w:pPr>
          </w:p>
        </w:tc>
      </w:tr>
      <w:tr w14:paraId="3E3D6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526" w:type="dxa"/>
            <w:gridSpan w:val="3"/>
            <w:noWrap w:val="0"/>
            <w:vAlign w:val="top"/>
          </w:tcPr>
          <w:p w14:paraId="3554893E">
            <w:pPr>
              <w:numPr>
                <w:ilvl w:val="0"/>
                <w:numId w:val="1"/>
              </w:numPr>
              <w:spacing w:line="400" w:lineRule="exact"/>
              <w:rPr>
                <w:rFonts w:eastAsia="黑体"/>
                <w:b/>
                <w:bCs/>
                <w:sz w:val="32"/>
              </w:rPr>
            </w:pPr>
            <w:r>
              <w:rPr>
                <w:rFonts w:hint="eastAsia" w:eastAsia="黑体"/>
                <w:b/>
                <w:bCs/>
                <w:sz w:val="32"/>
              </w:rPr>
              <w:t>参考文献</w:t>
            </w:r>
          </w:p>
          <w:p w14:paraId="243DD234">
            <w:pPr>
              <w:numPr>
                <w:ilvl w:val="0"/>
                <w:numId w:val="4"/>
              </w:numPr>
              <w:spacing w:line="400" w:lineRule="exact"/>
              <w:ind w:left="425" w:leftChars="0" w:hanging="425" w:firstLineChars="0"/>
              <w:rPr>
                <w:rFonts w:hint="default" w:eastAsia="宋体"/>
                <w:bCs/>
                <w:sz w:val="22"/>
                <w:szCs w:val="22"/>
                <w:lang w:val="en-US" w:eastAsia="zh-CN"/>
              </w:rPr>
            </w:pPr>
            <w:bookmarkStart w:id="0" w:name="_Ref23823"/>
            <w:r>
              <w:rPr>
                <w:rFonts w:hint="default" w:eastAsia="宋体"/>
                <w:bCs/>
                <w:sz w:val="22"/>
                <w:szCs w:val="22"/>
                <w:lang w:val="en-US" w:eastAsia="zh-CN"/>
              </w:rPr>
              <w:t>McMahan, B., Moore, E., Ramage, D., Hampson, S., &amp; y Arcas, B. A. (2017, April). Communication-efficient learning of deep networks from decentralized data. In Artificial intelligence and statistics (pp. 1273-1282). PMLR.</w:t>
            </w:r>
            <w:bookmarkEnd w:id="0"/>
          </w:p>
          <w:p w14:paraId="6CD49664">
            <w:pPr>
              <w:numPr>
                <w:ilvl w:val="0"/>
                <w:numId w:val="4"/>
              </w:numPr>
              <w:spacing w:line="400" w:lineRule="exact"/>
              <w:ind w:left="425" w:leftChars="0" w:hanging="425" w:firstLineChars="0"/>
              <w:rPr>
                <w:rFonts w:hint="default" w:eastAsia="宋体"/>
                <w:bCs/>
                <w:sz w:val="22"/>
                <w:szCs w:val="22"/>
                <w:lang w:val="en-US" w:eastAsia="zh-CN"/>
              </w:rPr>
            </w:pPr>
            <w:bookmarkStart w:id="1" w:name="_Ref24087"/>
            <w:r>
              <w:rPr>
                <w:rFonts w:hint="eastAsia"/>
                <w:bCs/>
                <w:sz w:val="22"/>
                <w:szCs w:val="22"/>
                <w:lang w:val="en-US" w:eastAsia="zh-CN"/>
              </w:rPr>
              <w:t>Li, X., Jiang, M., Zhang, X., Kamp, M., &amp; Dou, Q. (2021). Fedbn: Federated learning on non-iid features via local batch normalization. arXiv preprint arXiv:2102.07623.</w:t>
            </w:r>
            <w:bookmarkEnd w:id="1"/>
          </w:p>
          <w:p w14:paraId="65C6EED1">
            <w:pPr>
              <w:numPr>
                <w:ilvl w:val="0"/>
                <w:numId w:val="4"/>
              </w:numPr>
              <w:spacing w:line="400" w:lineRule="exact"/>
              <w:ind w:left="425" w:leftChars="0" w:hanging="425" w:firstLineChars="0"/>
              <w:rPr>
                <w:rFonts w:hint="default" w:eastAsia="宋体"/>
                <w:bCs/>
                <w:sz w:val="22"/>
                <w:szCs w:val="22"/>
                <w:lang w:val="en-US" w:eastAsia="zh-CN"/>
              </w:rPr>
            </w:pPr>
            <w:bookmarkStart w:id="2" w:name="_Ref24058"/>
            <w:r>
              <w:rPr>
                <w:rFonts w:hint="default" w:eastAsia="宋体"/>
                <w:bCs/>
                <w:sz w:val="22"/>
                <w:szCs w:val="22"/>
                <w:lang w:val="en-US" w:eastAsia="zh-CN"/>
              </w:rPr>
              <w:t>Tan, Y., Long, G., Liu, L., Zhou, T., Lu, Q., Jiang, J., &amp; Zhang, C. (2022, June). Fedproto: Federated prototype learning across heterogeneous clients. In Proceedings of the AAAI conference on artificial intelligence (Vol. 36, No. 8, pp. 8432-8440).</w:t>
            </w:r>
            <w:bookmarkEnd w:id="2"/>
          </w:p>
          <w:p w14:paraId="6F198AC0">
            <w:pPr>
              <w:numPr>
                <w:ilvl w:val="0"/>
                <w:numId w:val="4"/>
              </w:numPr>
              <w:spacing w:line="400" w:lineRule="exact"/>
              <w:ind w:left="425" w:leftChars="0" w:hanging="425" w:firstLineChars="0"/>
              <w:rPr>
                <w:rFonts w:hint="default" w:eastAsia="宋体"/>
                <w:bCs/>
                <w:sz w:val="22"/>
                <w:szCs w:val="22"/>
                <w:lang w:val="en-US" w:eastAsia="zh-CN"/>
              </w:rPr>
            </w:pPr>
            <w:bookmarkStart w:id="3" w:name="_Ref24237"/>
            <w:r>
              <w:rPr>
                <w:rFonts w:hint="default" w:eastAsia="宋体"/>
                <w:bCs/>
                <w:sz w:val="22"/>
                <w:szCs w:val="22"/>
                <w:lang w:val="en-US" w:eastAsia="zh-CN"/>
              </w:rPr>
              <w:t>Huang, Wenke, et al. "Rethinking federated learning with domain shift: A prototype view. In 2023 IEEE." CVF Conference on Computer Vision and Pattern Recognition (CVPR).</w:t>
            </w:r>
            <w:bookmarkEnd w:id="3"/>
          </w:p>
          <w:p w14:paraId="0749391E">
            <w:pPr>
              <w:numPr>
                <w:ilvl w:val="0"/>
                <w:numId w:val="4"/>
              </w:numPr>
              <w:spacing w:line="400" w:lineRule="exact"/>
              <w:ind w:left="425" w:leftChars="0" w:hanging="425" w:firstLineChars="0"/>
              <w:rPr>
                <w:rFonts w:hint="default" w:eastAsia="宋体"/>
                <w:bCs/>
                <w:sz w:val="22"/>
                <w:szCs w:val="22"/>
                <w:lang w:val="en-US" w:eastAsia="zh-CN"/>
              </w:rPr>
            </w:pPr>
            <w:bookmarkStart w:id="4" w:name="_Ref25181"/>
            <w:r>
              <w:rPr>
                <w:rFonts w:hint="default" w:eastAsia="宋体"/>
                <w:bCs/>
                <w:sz w:val="22"/>
                <w:szCs w:val="22"/>
                <w:lang w:val="en-US" w:eastAsia="zh-CN"/>
              </w:rPr>
              <w:t>Fu, L., Huang, S., Lai, Y., Liao, T., Zhang, C., &amp; Chen, C. (2025, April). Beyond federated prototype learning: Learnable semantic anchors with hyperspherical contrast for domain-skewed data. In Proceedings of the AAAI Conference on Artificial Intelligence (Vol. 39, No. 16, pp. 16648-16656).</w:t>
            </w:r>
            <w:bookmarkEnd w:id="4"/>
          </w:p>
          <w:p w14:paraId="22E52317">
            <w:pPr>
              <w:numPr>
                <w:ilvl w:val="0"/>
                <w:numId w:val="4"/>
              </w:numPr>
              <w:spacing w:line="400" w:lineRule="exact"/>
              <w:ind w:left="425" w:leftChars="0" w:hanging="425" w:firstLineChars="0"/>
              <w:rPr>
                <w:rFonts w:hint="default" w:eastAsia="宋体"/>
                <w:bCs/>
                <w:sz w:val="22"/>
                <w:szCs w:val="22"/>
                <w:lang w:val="en-US" w:eastAsia="zh-CN"/>
              </w:rPr>
            </w:pPr>
            <w:bookmarkStart w:id="5" w:name="_Ref24691"/>
            <w:r>
              <w:rPr>
                <w:rFonts w:hint="default" w:eastAsia="宋体"/>
                <w:bCs/>
                <w:sz w:val="22"/>
                <w:szCs w:val="22"/>
                <w:lang w:val="en-US" w:eastAsia="zh-CN"/>
              </w:rPr>
              <w:t>Wang, S., Li, J., Liu, Z., Zhang, Y., &amp; Gong, M. (2025, April). FedFSL-CFRD: Personalized Federated Few-Shot Learning with Collaborative Feature Representation Disentanglement. In Proceedings of the AAAI Conference on Artificial Intelligence (Vol. 39, No. 20, pp. 21243-21251).</w:t>
            </w:r>
            <w:bookmarkEnd w:id="5"/>
          </w:p>
          <w:p w14:paraId="4A5820E3">
            <w:pPr>
              <w:numPr>
                <w:ilvl w:val="0"/>
                <w:numId w:val="4"/>
              </w:numPr>
              <w:spacing w:line="400" w:lineRule="exact"/>
              <w:ind w:left="425" w:leftChars="0" w:hanging="425" w:firstLineChars="0"/>
              <w:rPr>
                <w:rFonts w:hint="default" w:eastAsia="宋体"/>
                <w:bCs/>
                <w:sz w:val="22"/>
                <w:szCs w:val="22"/>
                <w:lang w:val="en-US" w:eastAsia="zh-CN"/>
              </w:rPr>
            </w:pPr>
            <w:bookmarkStart w:id="6" w:name="_Ref24783"/>
            <w:r>
              <w:rPr>
                <w:rFonts w:hint="default" w:eastAsia="宋体"/>
                <w:bCs/>
                <w:sz w:val="22"/>
                <w:szCs w:val="22"/>
                <w:lang w:val="en-US" w:eastAsia="zh-CN"/>
              </w:rPr>
              <w:t>Wang, Zheng, et al. "Federated Learning with Domain Shift Eraser." Proceedings of the Computer Vision and Pattern Recognition Conference. 2025.</w:t>
            </w:r>
            <w:bookmarkEnd w:id="6"/>
          </w:p>
          <w:p w14:paraId="23ABDBE8">
            <w:pPr>
              <w:numPr>
                <w:ilvl w:val="0"/>
                <w:numId w:val="4"/>
              </w:numPr>
              <w:spacing w:line="400" w:lineRule="exact"/>
              <w:ind w:left="425" w:leftChars="0" w:hanging="425" w:firstLineChars="0"/>
              <w:rPr>
                <w:rFonts w:hint="default" w:eastAsia="宋体"/>
                <w:bCs/>
                <w:sz w:val="22"/>
                <w:szCs w:val="22"/>
                <w:lang w:val="en-US" w:eastAsia="zh-CN"/>
              </w:rPr>
            </w:pPr>
            <w:bookmarkStart w:id="7" w:name="_Ref24874"/>
            <w:r>
              <w:rPr>
                <w:rFonts w:hint="default" w:eastAsia="宋体"/>
                <w:bCs/>
                <w:sz w:val="22"/>
                <w:szCs w:val="22"/>
                <w:lang w:val="en-US" w:eastAsia="zh-CN"/>
              </w:rPr>
              <w:t>Zhang, Y., Liang, F., Yuan, G., Yang, M., Li, C., &amp; Hu, X. (2025). FedPall: Prototype-based Adversarial and Collaborative Learning for Federated Learning with Feature Drift. In Proceedings of the IEEE/CVF International Conference on Computer Vision (pp. 3111-3120).</w:t>
            </w:r>
            <w:bookmarkEnd w:id="7"/>
          </w:p>
          <w:p w14:paraId="106A240A">
            <w:pPr>
              <w:numPr>
                <w:ilvl w:val="0"/>
                <w:numId w:val="4"/>
              </w:numPr>
              <w:spacing w:line="400" w:lineRule="exact"/>
              <w:ind w:left="425" w:leftChars="0" w:hanging="425" w:firstLineChars="0"/>
              <w:rPr>
                <w:rFonts w:hint="default" w:eastAsia="宋体"/>
                <w:bCs/>
                <w:sz w:val="22"/>
                <w:szCs w:val="22"/>
                <w:lang w:val="en-US" w:eastAsia="zh-CN"/>
              </w:rPr>
            </w:pPr>
            <w:bookmarkStart w:id="8" w:name="_Ref25625"/>
            <w:r>
              <w:rPr>
                <w:rFonts w:hint="default" w:eastAsia="宋体"/>
                <w:bCs/>
                <w:sz w:val="22"/>
                <w:szCs w:val="22"/>
                <w:lang w:val="en-US" w:eastAsia="zh-CN"/>
              </w:rPr>
              <w:t>Le, H. Q., Tun, Y. L., Qiao, Y., Nguyen, M. N., Kim, K. O., Huh, E. N., &amp; Hong, C. S. (2025). Mitigating domain shift in federated learning via intra-and inter-domain prototypes. arXiv preprint arXiv:2501.08521.</w:t>
            </w:r>
            <w:bookmarkEnd w:id="8"/>
          </w:p>
          <w:p w14:paraId="5D1D6FF8">
            <w:pPr>
              <w:numPr>
                <w:ilvl w:val="0"/>
                <w:numId w:val="4"/>
              </w:numPr>
              <w:spacing w:line="400" w:lineRule="exact"/>
              <w:ind w:left="425" w:leftChars="0" w:hanging="425" w:firstLineChars="0"/>
              <w:rPr>
                <w:rFonts w:hint="default" w:eastAsia="宋体"/>
                <w:bCs/>
                <w:sz w:val="22"/>
                <w:szCs w:val="22"/>
                <w:lang w:val="en-US" w:eastAsia="zh-CN"/>
              </w:rPr>
            </w:pPr>
            <w:bookmarkStart w:id="9" w:name="_Ref24375"/>
            <w:r>
              <w:rPr>
                <w:rFonts w:hint="default" w:eastAsia="宋体"/>
                <w:bCs/>
                <w:sz w:val="22"/>
                <w:szCs w:val="22"/>
                <w:lang w:val="en-US" w:eastAsia="zh-CN"/>
              </w:rPr>
              <w:t>Qiao, Y., Munir, M. S., Adhikary, A., Le, H. Q., Raha, A. D., Zhang, C., &amp; Hong, C. S. (2023). Mp-fedcl: Multiprototype federated contrastive learning for edge intelligence. IEEE Internet of Things journal, 11(5), 8604-8623.</w:t>
            </w:r>
            <w:bookmarkEnd w:id="9"/>
          </w:p>
          <w:p w14:paraId="5EA26439">
            <w:pPr>
              <w:numPr>
                <w:ilvl w:val="0"/>
                <w:numId w:val="4"/>
              </w:numPr>
              <w:spacing w:line="400" w:lineRule="exact"/>
              <w:ind w:left="425" w:leftChars="0" w:hanging="425" w:firstLineChars="0"/>
              <w:rPr>
                <w:rFonts w:hint="default" w:eastAsia="宋体"/>
                <w:bCs/>
                <w:sz w:val="22"/>
                <w:szCs w:val="22"/>
                <w:lang w:val="en-US" w:eastAsia="zh-CN"/>
              </w:rPr>
            </w:pPr>
            <w:bookmarkStart w:id="10" w:name="_Ref24522"/>
            <w:r>
              <w:rPr>
                <w:rFonts w:hint="default" w:eastAsia="宋体"/>
                <w:bCs/>
                <w:sz w:val="22"/>
                <w:szCs w:val="22"/>
                <w:lang w:val="en-US" w:eastAsia="zh-CN"/>
              </w:rPr>
              <w:t>Wang, L., Bian, J., Zhang, L., Chen, C., &amp; Xu, J. (2024). Taming cross-domain representation variance in federated prototype learning with heterogeneous data domains. Advances in Neural Information Processing Systems, 37, 88348-88372.</w:t>
            </w:r>
            <w:bookmarkEnd w:id="10"/>
          </w:p>
          <w:p w14:paraId="3952ADE5">
            <w:pPr>
              <w:numPr>
                <w:ilvl w:val="0"/>
                <w:numId w:val="4"/>
              </w:numPr>
              <w:spacing w:line="400" w:lineRule="exact"/>
              <w:ind w:left="425" w:leftChars="0" w:hanging="425" w:firstLineChars="0"/>
              <w:rPr>
                <w:rFonts w:hint="default" w:eastAsia="宋体"/>
                <w:bCs/>
                <w:sz w:val="22"/>
                <w:szCs w:val="22"/>
                <w:lang w:val="en-US" w:eastAsia="zh-CN"/>
              </w:rPr>
            </w:pPr>
            <w:bookmarkStart w:id="11" w:name="_Ref24959"/>
            <w:r>
              <w:rPr>
                <w:rFonts w:hint="default" w:eastAsia="宋体"/>
                <w:bCs/>
                <w:sz w:val="22"/>
                <w:szCs w:val="22"/>
                <w:lang w:val="en-US" w:eastAsia="zh-CN"/>
              </w:rPr>
              <w:t>Jeon, M., &amp; Huh, E. (2025). Federated style aware transformer aggregation of representations. arXiv preprint arXiv:2511.18841.</w:t>
            </w:r>
            <w:bookmarkEnd w:id="11"/>
          </w:p>
          <w:p w14:paraId="28F20A75">
            <w:pPr>
              <w:spacing w:line="400" w:lineRule="exact"/>
              <w:rPr>
                <w:bCs/>
                <w:sz w:val="24"/>
              </w:rPr>
            </w:pPr>
          </w:p>
          <w:p w14:paraId="6E7FB687">
            <w:pPr>
              <w:spacing w:line="400" w:lineRule="exact"/>
              <w:rPr>
                <w:bCs/>
                <w:sz w:val="24"/>
              </w:rPr>
            </w:pPr>
          </w:p>
          <w:p w14:paraId="38C082E6">
            <w:pPr>
              <w:spacing w:line="400" w:lineRule="exact"/>
              <w:rPr>
                <w:bCs/>
                <w:sz w:val="24"/>
              </w:rPr>
            </w:pPr>
          </w:p>
          <w:p w14:paraId="1AC47925">
            <w:pPr>
              <w:spacing w:line="400" w:lineRule="exact"/>
              <w:rPr>
                <w:bCs/>
                <w:sz w:val="24"/>
              </w:rPr>
            </w:pPr>
          </w:p>
          <w:p w14:paraId="0EE5752C">
            <w:pPr>
              <w:spacing w:line="400" w:lineRule="exact"/>
              <w:rPr>
                <w:bCs/>
                <w:sz w:val="24"/>
              </w:rPr>
            </w:pPr>
          </w:p>
          <w:p w14:paraId="37F8C610">
            <w:pPr>
              <w:spacing w:line="400" w:lineRule="exact"/>
              <w:rPr>
                <w:bCs/>
                <w:sz w:val="24"/>
              </w:rPr>
            </w:pPr>
          </w:p>
          <w:p w14:paraId="23147DAA">
            <w:pPr>
              <w:spacing w:line="400" w:lineRule="exact"/>
              <w:rPr>
                <w:bCs/>
                <w:sz w:val="24"/>
              </w:rPr>
            </w:pPr>
          </w:p>
          <w:p w14:paraId="5D27BBBD">
            <w:pPr>
              <w:spacing w:line="400" w:lineRule="exact"/>
              <w:rPr>
                <w:bCs/>
                <w:sz w:val="24"/>
              </w:rPr>
            </w:pPr>
          </w:p>
          <w:p w14:paraId="4F2A9309">
            <w:pPr>
              <w:spacing w:line="400" w:lineRule="exact"/>
              <w:rPr>
                <w:rFonts w:hint="eastAsia"/>
                <w:bCs/>
                <w:sz w:val="24"/>
              </w:rPr>
            </w:pPr>
          </w:p>
          <w:p w14:paraId="6780E88E">
            <w:pPr>
              <w:spacing w:line="400" w:lineRule="exact"/>
              <w:rPr>
                <w:rFonts w:hint="eastAsia"/>
                <w:bCs/>
                <w:sz w:val="24"/>
              </w:rPr>
            </w:pPr>
          </w:p>
          <w:p w14:paraId="0E689322">
            <w:pPr>
              <w:spacing w:line="400" w:lineRule="exact"/>
              <w:rPr>
                <w:bCs/>
                <w:sz w:val="24"/>
              </w:rPr>
            </w:pPr>
          </w:p>
          <w:p w14:paraId="4CD4A2A7">
            <w:pPr>
              <w:spacing w:line="400" w:lineRule="exact"/>
              <w:rPr>
                <w:rFonts w:hint="eastAsia"/>
                <w:bCs/>
                <w:sz w:val="24"/>
              </w:rPr>
            </w:pPr>
          </w:p>
          <w:p w14:paraId="50BB6C0A">
            <w:pPr>
              <w:spacing w:line="400" w:lineRule="exact"/>
              <w:rPr>
                <w:bCs/>
                <w:sz w:val="24"/>
              </w:rPr>
            </w:pPr>
          </w:p>
          <w:p w14:paraId="77D01D9B">
            <w:pPr>
              <w:spacing w:line="400" w:lineRule="exact"/>
              <w:rPr>
                <w:rFonts w:hint="eastAsia"/>
                <w:bCs/>
                <w:sz w:val="24"/>
              </w:rPr>
            </w:pPr>
          </w:p>
        </w:tc>
      </w:tr>
      <w:tr w14:paraId="74DBE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9526" w:type="dxa"/>
            <w:gridSpan w:val="3"/>
            <w:noWrap w:val="0"/>
            <w:vAlign w:val="top"/>
          </w:tcPr>
          <w:p w14:paraId="667C454D">
            <w:pPr>
              <w:numPr>
                <w:ilvl w:val="0"/>
                <w:numId w:val="1"/>
              </w:numPr>
              <w:spacing w:line="400" w:lineRule="exact"/>
              <w:rPr>
                <w:rFonts w:hint="eastAsia" w:eastAsia="黑体"/>
                <w:b/>
                <w:bCs/>
                <w:sz w:val="32"/>
              </w:rPr>
            </w:pPr>
            <w:r>
              <w:rPr>
                <w:rFonts w:hint="eastAsia" w:eastAsia="黑体"/>
                <w:b/>
                <w:bCs/>
                <w:sz w:val="32"/>
              </w:rPr>
              <w:t>工作进度安排</w:t>
            </w:r>
          </w:p>
        </w:tc>
      </w:tr>
      <w:tr w14:paraId="7F9B5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49A4B5BC">
            <w:pPr>
              <w:spacing w:line="400" w:lineRule="exact"/>
              <w:jc w:val="center"/>
              <w:rPr>
                <w:rFonts w:hint="eastAsia" w:eastAsia="黑体"/>
                <w:b/>
                <w:bCs/>
                <w:sz w:val="24"/>
              </w:rPr>
            </w:pPr>
            <w:r>
              <w:rPr>
                <w:rFonts w:hint="eastAsia" w:eastAsia="黑体"/>
                <w:b/>
                <w:bCs/>
                <w:sz w:val="24"/>
              </w:rPr>
              <w:t>序号</w:t>
            </w:r>
          </w:p>
        </w:tc>
        <w:tc>
          <w:tcPr>
            <w:tcW w:w="6521" w:type="dxa"/>
            <w:noWrap w:val="0"/>
            <w:vAlign w:val="top"/>
          </w:tcPr>
          <w:p w14:paraId="6A3D28D7">
            <w:pPr>
              <w:spacing w:line="400" w:lineRule="exact"/>
              <w:jc w:val="center"/>
              <w:rPr>
                <w:rFonts w:hint="eastAsia" w:eastAsia="黑体"/>
                <w:b/>
                <w:bCs/>
                <w:sz w:val="24"/>
              </w:rPr>
            </w:pPr>
            <w:r>
              <w:rPr>
                <w:rFonts w:hint="eastAsia" w:eastAsia="黑体"/>
                <w:b/>
                <w:bCs/>
                <w:sz w:val="24"/>
              </w:rPr>
              <w:t>设计（论文）各阶段</w:t>
            </w:r>
            <w:r>
              <w:rPr>
                <w:rFonts w:eastAsia="黑体"/>
                <w:b/>
                <w:bCs/>
                <w:sz w:val="24"/>
              </w:rPr>
              <w:t>任务</w:t>
            </w:r>
          </w:p>
        </w:tc>
        <w:tc>
          <w:tcPr>
            <w:tcW w:w="2188" w:type="dxa"/>
            <w:noWrap w:val="0"/>
            <w:vAlign w:val="top"/>
          </w:tcPr>
          <w:p w14:paraId="0C61EBBD">
            <w:pPr>
              <w:spacing w:line="400" w:lineRule="exact"/>
              <w:jc w:val="center"/>
              <w:rPr>
                <w:rFonts w:hint="eastAsia" w:eastAsia="黑体"/>
                <w:b/>
                <w:bCs/>
                <w:sz w:val="24"/>
              </w:rPr>
            </w:pPr>
            <w:r>
              <w:rPr>
                <w:rFonts w:hint="eastAsia" w:eastAsia="黑体"/>
                <w:b/>
                <w:bCs/>
                <w:sz w:val="24"/>
              </w:rPr>
              <w:t>时间</w:t>
            </w:r>
            <w:r>
              <w:rPr>
                <w:rFonts w:eastAsia="黑体"/>
                <w:b/>
                <w:bCs/>
                <w:sz w:val="24"/>
              </w:rPr>
              <w:t>安排</w:t>
            </w:r>
          </w:p>
        </w:tc>
      </w:tr>
      <w:tr w14:paraId="2B7D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1D2131B1">
            <w:pPr>
              <w:spacing w:line="400" w:lineRule="exact"/>
              <w:jc w:val="center"/>
              <w:rPr>
                <w:rFonts w:hint="eastAsia"/>
                <w:bCs/>
                <w:sz w:val="24"/>
              </w:rPr>
            </w:pPr>
            <w:r>
              <w:rPr>
                <w:rFonts w:hint="eastAsia"/>
                <w:bCs/>
                <w:sz w:val="24"/>
              </w:rPr>
              <w:t>1</w:t>
            </w:r>
          </w:p>
        </w:tc>
        <w:tc>
          <w:tcPr>
            <w:tcW w:w="6521" w:type="dxa"/>
            <w:noWrap w:val="0"/>
            <w:vAlign w:val="top"/>
          </w:tcPr>
          <w:p w14:paraId="5B2C9BBC">
            <w:pPr>
              <w:spacing w:line="400" w:lineRule="exact"/>
              <w:rPr>
                <w:rFonts w:hint="default" w:eastAsia="宋体"/>
                <w:bCs/>
                <w:sz w:val="24"/>
                <w:lang w:val="en-US" w:eastAsia="zh-CN"/>
              </w:rPr>
            </w:pPr>
            <w:r>
              <w:rPr>
                <w:rFonts w:hint="eastAsia"/>
                <w:bCs/>
                <w:sz w:val="24"/>
                <w:lang w:val="en-US" w:eastAsia="zh-CN"/>
              </w:rPr>
              <w:t>算法框架理论优化、demo验证</w:t>
            </w:r>
          </w:p>
        </w:tc>
        <w:tc>
          <w:tcPr>
            <w:tcW w:w="2188" w:type="dxa"/>
            <w:noWrap w:val="0"/>
            <w:vAlign w:val="top"/>
          </w:tcPr>
          <w:p w14:paraId="3D8306DC">
            <w:pPr>
              <w:spacing w:line="400" w:lineRule="exact"/>
              <w:rPr>
                <w:rFonts w:hint="default" w:eastAsia="宋体"/>
                <w:bCs/>
                <w:sz w:val="24"/>
                <w:lang w:val="en-US" w:eastAsia="zh-CN"/>
              </w:rPr>
            </w:pPr>
            <w:r>
              <w:rPr>
                <w:rFonts w:hint="eastAsia"/>
                <w:bCs/>
                <w:sz w:val="24"/>
                <w:lang w:val="en-US" w:eastAsia="zh-CN"/>
              </w:rPr>
              <w:t>1月</w:t>
            </w:r>
            <w:bookmarkStart w:id="12" w:name="_GoBack"/>
            <w:bookmarkEnd w:id="12"/>
          </w:p>
        </w:tc>
      </w:tr>
      <w:tr w14:paraId="5E70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62657741">
            <w:pPr>
              <w:spacing w:line="400" w:lineRule="exact"/>
              <w:jc w:val="center"/>
              <w:rPr>
                <w:rFonts w:hint="eastAsia"/>
                <w:bCs/>
                <w:sz w:val="24"/>
              </w:rPr>
            </w:pPr>
            <w:r>
              <w:rPr>
                <w:rFonts w:hint="eastAsia"/>
                <w:bCs/>
                <w:sz w:val="24"/>
              </w:rPr>
              <w:t>2</w:t>
            </w:r>
          </w:p>
        </w:tc>
        <w:tc>
          <w:tcPr>
            <w:tcW w:w="6521" w:type="dxa"/>
            <w:noWrap w:val="0"/>
            <w:vAlign w:val="top"/>
          </w:tcPr>
          <w:p w14:paraId="6EC8F34F">
            <w:pPr>
              <w:spacing w:line="400" w:lineRule="exact"/>
              <w:rPr>
                <w:rFonts w:hint="default" w:eastAsia="宋体"/>
                <w:bCs/>
                <w:sz w:val="24"/>
                <w:lang w:val="en-US" w:eastAsia="zh-CN"/>
              </w:rPr>
            </w:pPr>
            <w:r>
              <w:rPr>
                <w:rFonts w:hint="default" w:eastAsia="宋体"/>
                <w:bCs/>
                <w:sz w:val="24"/>
                <w:lang w:val="en-US" w:eastAsia="zh-CN"/>
              </w:rPr>
              <w:t>系统框架搭建与模块开发</w:t>
            </w:r>
          </w:p>
        </w:tc>
        <w:tc>
          <w:tcPr>
            <w:tcW w:w="2188" w:type="dxa"/>
            <w:noWrap w:val="0"/>
            <w:vAlign w:val="top"/>
          </w:tcPr>
          <w:p w14:paraId="02EFC4BC">
            <w:pPr>
              <w:spacing w:line="400" w:lineRule="exact"/>
              <w:rPr>
                <w:rFonts w:hint="default" w:eastAsia="宋体"/>
                <w:bCs/>
                <w:sz w:val="24"/>
                <w:lang w:val="en-US" w:eastAsia="zh-CN"/>
              </w:rPr>
            </w:pPr>
            <w:r>
              <w:rPr>
                <w:rFonts w:hint="eastAsia"/>
                <w:bCs/>
                <w:sz w:val="24"/>
                <w:lang w:val="en-US" w:eastAsia="zh-CN"/>
              </w:rPr>
              <w:t>2月至3月上旬</w:t>
            </w:r>
          </w:p>
        </w:tc>
      </w:tr>
      <w:tr w14:paraId="6BAF5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2CA41D46">
            <w:pPr>
              <w:spacing w:line="400" w:lineRule="exact"/>
              <w:jc w:val="center"/>
              <w:rPr>
                <w:rFonts w:hint="eastAsia"/>
                <w:bCs/>
                <w:sz w:val="24"/>
              </w:rPr>
            </w:pPr>
            <w:r>
              <w:rPr>
                <w:rFonts w:hint="eastAsia"/>
                <w:bCs/>
                <w:sz w:val="24"/>
              </w:rPr>
              <w:t>3</w:t>
            </w:r>
          </w:p>
        </w:tc>
        <w:tc>
          <w:tcPr>
            <w:tcW w:w="6521" w:type="dxa"/>
            <w:noWrap w:val="0"/>
            <w:vAlign w:val="top"/>
          </w:tcPr>
          <w:p w14:paraId="1F7C73BB">
            <w:pPr>
              <w:spacing w:line="400" w:lineRule="exact"/>
              <w:rPr>
                <w:rFonts w:hint="default" w:eastAsia="宋体"/>
                <w:bCs/>
                <w:sz w:val="24"/>
                <w:lang w:val="en-US" w:eastAsia="zh-CN"/>
              </w:rPr>
            </w:pPr>
            <w:r>
              <w:rPr>
                <w:rFonts w:hint="eastAsia"/>
                <w:bCs/>
                <w:sz w:val="24"/>
                <w:lang w:val="en-US" w:eastAsia="zh-CN"/>
              </w:rPr>
              <w:t>基线算法的复现与实验</w:t>
            </w:r>
          </w:p>
        </w:tc>
        <w:tc>
          <w:tcPr>
            <w:tcW w:w="2188" w:type="dxa"/>
            <w:noWrap w:val="0"/>
            <w:vAlign w:val="top"/>
          </w:tcPr>
          <w:p w14:paraId="76214B33">
            <w:pPr>
              <w:spacing w:line="400" w:lineRule="exact"/>
              <w:rPr>
                <w:rFonts w:hint="default" w:eastAsia="宋体"/>
                <w:bCs/>
                <w:sz w:val="24"/>
                <w:lang w:val="en-US" w:eastAsia="zh-CN"/>
              </w:rPr>
            </w:pPr>
            <w:r>
              <w:rPr>
                <w:rFonts w:hint="eastAsia"/>
                <w:bCs/>
                <w:sz w:val="24"/>
                <w:lang w:val="en-US" w:eastAsia="zh-CN"/>
              </w:rPr>
              <w:t>3月中旬至4月上旬</w:t>
            </w:r>
          </w:p>
        </w:tc>
      </w:tr>
      <w:tr w14:paraId="408B1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3D865B23">
            <w:pPr>
              <w:spacing w:line="400" w:lineRule="exact"/>
              <w:jc w:val="center"/>
              <w:rPr>
                <w:rFonts w:hint="eastAsia" w:eastAsia="宋体"/>
                <w:bCs/>
                <w:sz w:val="24"/>
                <w:lang w:val="en-US" w:eastAsia="zh-CN"/>
              </w:rPr>
            </w:pPr>
            <w:r>
              <w:rPr>
                <w:rFonts w:hint="eastAsia"/>
                <w:bCs/>
                <w:sz w:val="24"/>
                <w:lang w:val="en-US" w:eastAsia="zh-CN"/>
              </w:rPr>
              <w:t>4</w:t>
            </w:r>
          </w:p>
        </w:tc>
        <w:tc>
          <w:tcPr>
            <w:tcW w:w="6521" w:type="dxa"/>
            <w:noWrap w:val="0"/>
            <w:vAlign w:val="top"/>
          </w:tcPr>
          <w:p w14:paraId="53964543">
            <w:pPr>
              <w:spacing w:line="400" w:lineRule="exact"/>
              <w:rPr>
                <w:rFonts w:hint="default" w:eastAsia="宋体"/>
                <w:bCs/>
                <w:sz w:val="24"/>
                <w:lang w:val="en-US" w:eastAsia="zh-CN"/>
              </w:rPr>
            </w:pPr>
            <w:r>
              <w:rPr>
                <w:rFonts w:hint="eastAsia"/>
                <w:bCs/>
                <w:sz w:val="24"/>
                <w:lang w:val="en-US" w:eastAsia="zh-CN"/>
              </w:rPr>
              <w:t>整理代码实验结果，进行论文撰写</w:t>
            </w:r>
          </w:p>
        </w:tc>
        <w:tc>
          <w:tcPr>
            <w:tcW w:w="2188" w:type="dxa"/>
            <w:noWrap w:val="0"/>
            <w:vAlign w:val="top"/>
          </w:tcPr>
          <w:p w14:paraId="3D32D298">
            <w:pPr>
              <w:spacing w:line="400" w:lineRule="exact"/>
              <w:rPr>
                <w:rFonts w:hint="default" w:eastAsia="宋体"/>
                <w:bCs/>
                <w:sz w:val="24"/>
                <w:lang w:val="en-US" w:eastAsia="zh-CN"/>
              </w:rPr>
            </w:pPr>
            <w:r>
              <w:rPr>
                <w:rFonts w:hint="eastAsia"/>
                <w:bCs/>
                <w:sz w:val="24"/>
                <w:lang w:val="en-US" w:eastAsia="zh-CN"/>
              </w:rPr>
              <w:t>4月下旬</w:t>
            </w:r>
          </w:p>
        </w:tc>
      </w:tr>
      <w:tr w14:paraId="3B37C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2C6C41D9">
            <w:pPr>
              <w:spacing w:line="400" w:lineRule="exact"/>
              <w:jc w:val="center"/>
              <w:rPr>
                <w:rFonts w:hint="eastAsia"/>
                <w:bCs/>
                <w:sz w:val="24"/>
              </w:rPr>
            </w:pPr>
          </w:p>
        </w:tc>
        <w:tc>
          <w:tcPr>
            <w:tcW w:w="6521" w:type="dxa"/>
            <w:noWrap w:val="0"/>
            <w:vAlign w:val="top"/>
          </w:tcPr>
          <w:p w14:paraId="0AEB13B1">
            <w:pPr>
              <w:spacing w:line="400" w:lineRule="exact"/>
              <w:rPr>
                <w:rFonts w:hint="eastAsia"/>
                <w:bCs/>
                <w:sz w:val="24"/>
              </w:rPr>
            </w:pPr>
          </w:p>
        </w:tc>
        <w:tc>
          <w:tcPr>
            <w:tcW w:w="2188" w:type="dxa"/>
            <w:noWrap w:val="0"/>
            <w:vAlign w:val="top"/>
          </w:tcPr>
          <w:p w14:paraId="3547845B">
            <w:pPr>
              <w:spacing w:line="400" w:lineRule="exact"/>
              <w:rPr>
                <w:rFonts w:hint="eastAsia"/>
                <w:bCs/>
                <w:sz w:val="24"/>
              </w:rPr>
            </w:pPr>
          </w:p>
        </w:tc>
      </w:tr>
      <w:tr w14:paraId="2E90C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5F9EAE6A">
            <w:pPr>
              <w:spacing w:line="400" w:lineRule="exact"/>
              <w:jc w:val="center"/>
              <w:rPr>
                <w:rFonts w:hint="eastAsia"/>
                <w:bCs/>
                <w:sz w:val="24"/>
              </w:rPr>
            </w:pPr>
          </w:p>
        </w:tc>
        <w:tc>
          <w:tcPr>
            <w:tcW w:w="6521" w:type="dxa"/>
            <w:noWrap w:val="0"/>
            <w:vAlign w:val="top"/>
          </w:tcPr>
          <w:p w14:paraId="314D7BC9">
            <w:pPr>
              <w:spacing w:line="400" w:lineRule="exact"/>
              <w:rPr>
                <w:rFonts w:hint="eastAsia"/>
                <w:bCs/>
                <w:sz w:val="24"/>
              </w:rPr>
            </w:pPr>
          </w:p>
        </w:tc>
        <w:tc>
          <w:tcPr>
            <w:tcW w:w="2188" w:type="dxa"/>
            <w:noWrap w:val="0"/>
            <w:vAlign w:val="top"/>
          </w:tcPr>
          <w:p w14:paraId="6D91F6DF">
            <w:pPr>
              <w:spacing w:line="400" w:lineRule="exact"/>
              <w:rPr>
                <w:rFonts w:hint="eastAsia"/>
                <w:bCs/>
                <w:sz w:val="24"/>
              </w:rPr>
            </w:pPr>
          </w:p>
        </w:tc>
      </w:tr>
      <w:tr w14:paraId="7E876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atLeast"/>
        </w:trPr>
        <w:tc>
          <w:tcPr>
            <w:tcW w:w="817" w:type="dxa"/>
            <w:noWrap w:val="0"/>
            <w:vAlign w:val="top"/>
          </w:tcPr>
          <w:p w14:paraId="3146A042">
            <w:pPr>
              <w:spacing w:line="400" w:lineRule="exact"/>
              <w:jc w:val="center"/>
              <w:rPr>
                <w:rFonts w:hint="eastAsia"/>
                <w:bCs/>
                <w:sz w:val="24"/>
              </w:rPr>
            </w:pPr>
          </w:p>
        </w:tc>
        <w:tc>
          <w:tcPr>
            <w:tcW w:w="6521" w:type="dxa"/>
            <w:noWrap w:val="0"/>
            <w:vAlign w:val="top"/>
          </w:tcPr>
          <w:p w14:paraId="4ED8C777">
            <w:pPr>
              <w:spacing w:line="400" w:lineRule="exact"/>
              <w:rPr>
                <w:rFonts w:hint="eastAsia"/>
                <w:bCs/>
                <w:sz w:val="24"/>
              </w:rPr>
            </w:pPr>
          </w:p>
        </w:tc>
        <w:tc>
          <w:tcPr>
            <w:tcW w:w="2188" w:type="dxa"/>
            <w:noWrap w:val="0"/>
            <w:vAlign w:val="top"/>
          </w:tcPr>
          <w:p w14:paraId="7F5A1D11">
            <w:pPr>
              <w:spacing w:line="400" w:lineRule="exact"/>
              <w:rPr>
                <w:rFonts w:hint="eastAsia"/>
                <w:bCs/>
                <w:sz w:val="24"/>
              </w:rPr>
            </w:pPr>
          </w:p>
        </w:tc>
      </w:tr>
    </w:tbl>
    <w:p w14:paraId="57A38AE3">
      <w:pPr>
        <w:spacing w:line="360" w:lineRule="auto"/>
        <w:rPr>
          <w:rFonts w:hint="eastAsia"/>
          <w:b/>
          <w:bCs/>
          <w:color w:val="008000"/>
          <w:szCs w:val="21"/>
        </w:rPr>
      </w:pPr>
      <w:r>
        <w:rPr>
          <w:rFonts w:hint="eastAsia"/>
          <w:b/>
          <w:bCs/>
          <w:color w:val="008000"/>
          <w:szCs w:val="21"/>
        </w:rPr>
        <w:t>说明：</w:t>
      </w:r>
    </w:p>
    <w:p w14:paraId="352CDFCE">
      <w:pPr>
        <w:spacing w:line="360" w:lineRule="auto"/>
        <w:rPr>
          <w:rFonts w:hint="eastAsia"/>
          <w:bCs/>
          <w:color w:val="008000"/>
          <w:szCs w:val="21"/>
        </w:rPr>
      </w:pPr>
      <w:r>
        <w:rPr>
          <w:rFonts w:hint="eastAsia"/>
          <w:bCs/>
          <w:color w:val="008000"/>
          <w:szCs w:val="21"/>
        </w:rPr>
        <w:t>1. 学生应通过调研和资料搜集（要有10篇以上相关文章的阅读量），主动与指导教师讨论，在指导教师指导下完成开题报告。开题报告需经各系或论文指导小组讨论、学院教学指导委员会审查合格后，方可正式进入下一步毕业设计（论文）阶段。</w:t>
      </w:r>
    </w:p>
    <w:p w14:paraId="67920EF3">
      <w:pPr>
        <w:spacing w:line="360" w:lineRule="auto"/>
        <w:rPr>
          <w:bCs/>
          <w:color w:val="008000"/>
          <w:szCs w:val="21"/>
        </w:rPr>
      </w:pPr>
      <w:r>
        <w:rPr>
          <w:rFonts w:hint="eastAsia"/>
          <w:bCs/>
          <w:color w:val="008000"/>
          <w:szCs w:val="21"/>
        </w:rPr>
        <w:t>2. 理、工科开题报告撰写不少于</w:t>
      </w:r>
      <w:r>
        <w:rPr>
          <w:bCs/>
          <w:color w:val="008000"/>
          <w:szCs w:val="21"/>
        </w:rPr>
        <w:t>2500</w:t>
      </w:r>
      <w:r>
        <w:rPr>
          <w:rFonts w:hint="eastAsia"/>
          <w:bCs/>
          <w:color w:val="008000"/>
          <w:szCs w:val="21"/>
        </w:rPr>
        <w:t>字，人文社科开题报告不少于3500字。</w:t>
      </w:r>
    </w:p>
    <w:p w14:paraId="70044201">
      <w:pPr>
        <w:spacing w:line="360" w:lineRule="auto"/>
        <w:rPr>
          <w:rFonts w:hint="eastAsia"/>
          <w:bCs/>
          <w:color w:val="008000"/>
          <w:szCs w:val="21"/>
        </w:rPr>
      </w:pPr>
      <w:r>
        <w:rPr>
          <w:rFonts w:hint="eastAsia"/>
          <w:bCs/>
          <w:color w:val="008000"/>
          <w:szCs w:val="21"/>
        </w:rPr>
        <w:t xml:space="preserve">3. </w:t>
      </w:r>
      <w:r>
        <w:rPr>
          <w:rFonts w:hint="eastAsia"/>
          <w:color w:val="008000"/>
        </w:rPr>
        <w:t>开题报告字体为小四号，宋体（英文需用Times New Roman字体），行距为固定值20磅。</w:t>
      </w:r>
      <w:r>
        <w:rPr>
          <w:rFonts w:hint="eastAsia"/>
          <w:bCs/>
          <w:color w:val="008000"/>
          <w:szCs w:val="21"/>
        </w:rPr>
        <w:t xml:space="preserve"> </w:t>
      </w:r>
    </w:p>
    <w:p w14:paraId="1D72BD30">
      <w:pPr>
        <w:spacing w:line="400" w:lineRule="exact"/>
        <w:rPr>
          <w:rFonts w:hint="eastAsia"/>
        </w:rPr>
      </w:pPr>
    </w:p>
    <w:sectPr>
      <w:pgSz w:w="11907" w:h="16840"/>
      <w:pgMar w:top="1701" w:right="1157" w:bottom="936" w:left="1440" w:header="851" w:footer="992" w:gutter="0"/>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oogle Sans">
    <w:altName w:val="Segoe Print"/>
    <w:panose1 w:val="00000000000000000000"/>
    <w:charset w:val="00"/>
    <w:family w:val="auto"/>
    <w:pitch w:val="default"/>
    <w:sig w:usb0="00000000" w:usb1="00000000" w:usb2="00000000" w:usb3="00000000" w:csb0="00000000" w:csb1="00000000"/>
  </w:font>
  <w:font w:name="Google Sans Tex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D8F2D">
    <w:pPr>
      <w:pStyle w:val="5"/>
      <w:framePr w:wrap="around" w:vAnchor="text" w:hAnchor="margin" w:xAlign="right" w:y="1"/>
      <w:rPr>
        <w:rStyle w:val="11"/>
      </w:rPr>
    </w:pPr>
    <w:r>
      <w:rPr>
        <w:rStyle w:val="11"/>
      </w:rPr>
      <w:fldChar w:fldCharType="begin"/>
    </w:r>
    <w:r>
      <w:rPr>
        <w:rStyle w:val="11"/>
      </w:rPr>
      <w:instrText xml:space="preserve">PAGE  </w:instrText>
    </w:r>
    <w:r>
      <w:rPr>
        <w:rStyle w:val="11"/>
      </w:rPr>
      <w:fldChar w:fldCharType="separate"/>
    </w:r>
    <w:r>
      <w:rPr>
        <w:rStyle w:val="11"/>
        <w:lang/>
      </w:rPr>
      <w:t>3</w:t>
    </w:r>
    <w:r>
      <w:rPr>
        <w:rStyle w:val="11"/>
      </w:rPr>
      <w:fldChar w:fldCharType="end"/>
    </w:r>
  </w:p>
  <w:p w14:paraId="4EEF0FCB">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C0AC4D">
    <w:pPr>
      <w:pStyle w:val="5"/>
      <w:framePr w:wrap="around" w:vAnchor="text" w:hAnchor="margin" w:xAlign="right" w:y="1"/>
      <w:rPr>
        <w:rStyle w:val="11"/>
      </w:rPr>
    </w:pPr>
    <w:r>
      <w:rPr>
        <w:rStyle w:val="11"/>
      </w:rPr>
      <w:fldChar w:fldCharType="begin"/>
    </w:r>
    <w:r>
      <w:rPr>
        <w:rStyle w:val="11"/>
      </w:rPr>
      <w:instrText xml:space="preserve">PAGE  </w:instrText>
    </w:r>
    <w:r>
      <w:rPr>
        <w:rStyle w:val="11"/>
      </w:rPr>
      <w:fldChar w:fldCharType="end"/>
    </w:r>
  </w:p>
  <w:p w14:paraId="110CCEF4">
    <w:pPr>
      <w:pStyle w:val="5"/>
      <w:ind w:right="36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82CB923"/>
    <w:multiLevelType w:val="singleLevel"/>
    <w:tmpl w:val="082CB923"/>
    <w:lvl w:ilvl="0" w:tentative="0">
      <w:start w:val="1"/>
      <w:numFmt w:val="bullet"/>
      <w:lvlText w:val=""/>
      <w:lvlJc w:val="left"/>
      <w:pPr>
        <w:ind w:left="840" w:hanging="420"/>
      </w:pPr>
      <w:rPr>
        <w:rFonts w:hint="default" w:ascii="Wingdings" w:hAnsi="Wingdings"/>
      </w:rPr>
    </w:lvl>
  </w:abstractNum>
  <w:abstractNum w:abstractNumId="1">
    <w:nsid w:val="13252627"/>
    <w:multiLevelType w:val="multilevel"/>
    <w:tmpl w:val="13252627"/>
    <w:lvl w:ilvl="0" w:tentative="0">
      <w:start w:val="1"/>
      <w:numFmt w:val="japaneseCounting"/>
      <w:lvlText w:val="%1、"/>
      <w:lvlJc w:val="left"/>
      <w:pPr>
        <w:ind w:left="720" w:hanging="7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3FD6BA52"/>
    <w:multiLevelType w:val="singleLevel"/>
    <w:tmpl w:val="3FD6BA52"/>
    <w:lvl w:ilvl="0" w:tentative="0">
      <w:start w:val="1"/>
      <w:numFmt w:val="decimal"/>
      <w:lvlText w:val="[%1]."/>
      <w:lvlJc w:val="left"/>
      <w:pPr>
        <w:tabs>
          <w:tab w:val="left" w:pos="420"/>
        </w:tabs>
        <w:ind w:left="425" w:leftChars="0" w:hanging="425" w:firstLineChars="0"/>
      </w:pPr>
      <w:rPr>
        <w:rFonts w:hint="default"/>
      </w:rPr>
    </w:lvl>
  </w:abstractNum>
  <w:abstractNum w:abstractNumId="3">
    <w:nsid w:val="747576A1"/>
    <w:multiLevelType w:val="singleLevel"/>
    <w:tmpl w:val="747576A1"/>
    <w:lvl w:ilvl="0" w:tentative="0">
      <w:start w:val="1"/>
      <w:numFmt w:val="bullet"/>
      <w:lvlText w:val=""/>
      <w:lvlJc w:val="left"/>
      <w:pPr>
        <w:ind w:left="840" w:hanging="420"/>
      </w:pPr>
      <w:rPr>
        <w:rFonts w:hint="default" w:ascii="Wingdings" w:hAnsi="Wingdings"/>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0F5A"/>
    <w:rsid w:val="00011629"/>
    <w:rsid w:val="000254F5"/>
    <w:rsid w:val="0003227E"/>
    <w:rsid w:val="00054054"/>
    <w:rsid w:val="00062639"/>
    <w:rsid w:val="00080084"/>
    <w:rsid w:val="000C5A4B"/>
    <w:rsid w:val="0010442D"/>
    <w:rsid w:val="00117083"/>
    <w:rsid w:val="00124C0A"/>
    <w:rsid w:val="0014011B"/>
    <w:rsid w:val="00145AB7"/>
    <w:rsid w:val="00147851"/>
    <w:rsid w:val="00154C18"/>
    <w:rsid w:val="001706CD"/>
    <w:rsid w:val="001C4DD0"/>
    <w:rsid w:val="001E6BFE"/>
    <w:rsid w:val="00210BA3"/>
    <w:rsid w:val="00227F85"/>
    <w:rsid w:val="0023663A"/>
    <w:rsid w:val="00251099"/>
    <w:rsid w:val="0026333C"/>
    <w:rsid w:val="002A5AB7"/>
    <w:rsid w:val="002C4961"/>
    <w:rsid w:val="002E676D"/>
    <w:rsid w:val="003006B4"/>
    <w:rsid w:val="00315D38"/>
    <w:rsid w:val="00316B12"/>
    <w:rsid w:val="00351CAE"/>
    <w:rsid w:val="00357B03"/>
    <w:rsid w:val="003713CF"/>
    <w:rsid w:val="00381233"/>
    <w:rsid w:val="0039521C"/>
    <w:rsid w:val="003C04EA"/>
    <w:rsid w:val="003C773A"/>
    <w:rsid w:val="003E5579"/>
    <w:rsid w:val="00400529"/>
    <w:rsid w:val="00404CB1"/>
    <w:rsid w:val="00416478"/>
    <w:rsid w:val="00440D66"/>
    <w:rsid w:val="00452E14"/>
    <w:rsid w:val="00475EE5"/>
    <w:rsid w:val="00477110"/>
    <w:rsid w:val="004B35E3"/>
    <w:rsid w:val="00522F90"/>
    <w:rsid w:val="005567C8"/>
    <w:rsid w:val="00590A77"/>
    <w:rsid w:val="005B1C0F"/>
    <w:rsid w:val="005B292D"/>
    <w:rsid w:val="005B5330"/>
    <w:rsid w:val="005E2B35"/>
    <w:rsid w:val="00605769"/>
    <w:rsid w:val="00654975"/>
    <w:rsid w:val="006705A6"/>
    <w:rsid w:val="006A03B9"/>
    <w:rsid w:val="006D0FEE"/>
    <w:rsid w:val="0076339A"/>
    <w:rsid w:val="007654EA"/>
    <w:rsid w:val="00795D30"/>
    <w:rsid w:val="007B58FF"/>
    <w:rsid w:val="007C26DD"/>
    <w:rsid w:val="007C34D3"/>
    <w:rsid w:val="007E3F0E"/>
    <w:rsid w:val="007F38B9"/>
    <w:rsid w:val="008739D8"/>
    <w:rsid w:val="0088319A"/>
    <w:rsid w:val="008A1910"/>
    <w:rsid w:val="008E0F5A"/>
    <w:rsid w:val="008E6525"/>
    <w:rsid w:val="00946E7D"/>
    <w:rsid w:val="00975066"/>
    <w:rsid w:val="0098226D"/>
    <w:rsid w:val="00984C6E"/>
    <w:rsid w:val="00997C18"/>
    <w:rsid w:val="009A72F3"/>
    <w:rsid w:val="009B1BB1"/>
    <w:rsid w:val="009C1923"/>
    <w:rsid w:val="00A0635E"/>
    <w:rsid w:val="00A5146F"/>
    <w:rsid w:val="00A93326"/>
    <w:rsid w:val="00A97D5B"/>
    <w:rsid w:val="00AE186F"/>
    <w:rsid w:val="00AE4444"/>
    <w:rsid w:val="00AF7D41"/>
    <w:rsid w:val="00B21C91"/>
    <w:rsid w:val="00B402C0"/>
    <w:rsid w:val="00B4364A"/>
    <w:rsid w:val="00B47673"/>
    <w:rsid w:val="00B63B4A"/>
    <w:rsid w:val="00B713FB"/>
    <w:rsid w:val="00BA2612"/>
    <w:rsid w:val="00BA3AAA"/>
    <w:rsid w:val="00BC7BF5"/>
    <w:rsid w:val="00BE73D1"/>
    <w:rsid w:val="00BF6AC4"/>
    <w:rsid w:val="00C24BE4"/>
    <w:rsid w:val="00C30C21"/>
    <w:rsid w:val="00C34F16"/>
    <w:rsid w:val="00C477C5"/>
    <w:rsid w:val="00C53F63"/>
    <w:rsid w:val="00C623FC"/>
    <w:rsid w:val="00C706A2"/>
    <w:rsid w:val="00C93721"/>
    <w:rsid w:val="00CA0C1E"/>
    <w:rsid w:val="00CB29F9"/>
    <w:rsid w:val="00D106C0"/>
    <w:rsid w:val="00D25AF8"/>
    <w:rsid w:val="00D56A14"/>
    <w:rsid w:val="00D8649F"/>
    <w:rsid w:val="00DD5E0A"/>
    <w:rsid w:val="00DE6A89"/>
    <w:rsid w:val="00E064B8"/>
    <w:rsid w:val="00E47433"/>
    <w:rsid w:val="00ED0BBC"/>
    <w:rsid w:val="00F01472"/>
    <w:rsid w:val="00F47604"/>
    <w:rsid w:val="00F72DCB"/>
    <w:rsid w:val="00F82626"/>
    <w:rsid w:val="00FD1479"/>
    <w:rsid w:val="255E66C3"/>
    <w:rsid w:val="6BDD1D8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2"/>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3">
    <w:name w:val="heading 3"/>
    <w:basedOn w:val="1"/>
    <w:next w:val="1"/>
    <w:qFormat/>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character" w:default="1" w:styleId="10">
    <w:name w:val="Default Paragraph Font"/>
    <w:semiHidden/>
    <w:uiPriority w:val="0"/>
  </w:style>
  <w:style w:type="table" w:default="1" w:styleId="8">
    <w:name w:val="Normal Table"/>
    <w:semiHidden/>
    <w:uiPriority w:val="0"/>
    <w:tblPr>
      <w:tblStyle w:val="8"/>
      <w:tblCellMar>
        <w:top w:w="0" w:type="dxa"/>
        <w:left w:w="108" w:type="dxa"/>
        <w:bottom w:w="0" w:type="dxa"/>
        <w:right w:w="108" w:type="dxa"/>
      </w:tblCellMar>
    </w:tblPr>
    <w:trPr>
      <w:wBefore w:w="0" w:type="dxa"/>
    </w:trPr>
  </w:style>
  <w:style w:type="paragraph" w:styleId="4">
    <w:name w:val="Balloon Text"/>
    <w:basedOn w:val="1"/>
    <w:link w:val="12"/>
    <w:uiPriority w:val="0"/>
    <w:rPr>
      <w:sz w:val="18"/>
      <w:szCs w:val="18"/>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uiPriority w:val="0"/>
    <w:tblPr>
      <w:tblStyle w:val="8"/>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uiPriority w:val="0"/>
  </w:style>
  <w:style w:type="character" w:customStyle="1" w:styleId="12">
    <w:name w:val="批注框文本 字符"/>
    <w:link w:val="4"/>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3</Company>
  <Pages>8</Pages>
  <Words>302</Words>
  <Characters>323</Characters>
  <Lines>3</Lines>
  <Paragraphs>1</Paragraphs>
  <TotalTime>1</TotalTime>
  <ScaleCrop>false</ScaleCrop>
  <LinksUpToDate>false</LinksUpToDate>
  <CharactersWithSpaces>337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2010-11-16T09:47:00Z</dcterms:created>
  <dc:creator>3</dc:creator>
  <cp:lastModifiedBy>一 夜浮华</cp:lastModifiedBy>
  <cp:lastPrinted>2017-12-06T02:53:00Z</cp:lastPrinted>
  <dcterms:modified xsi:type="dcterms:W3CDTF">2026-01-12T13:11:07Z</dcterms:modified>
  <dc:title>华南理工大学数学科学学院</dc:title>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eyJoZGlkIjoiMDkxZTNkYTE4MzcwZjBiNTE3ZTU5YTYxZWM3NjgzODMiLCJ1c2VySWQiOiI3MDU4MzczOTcifQ==</vt:lpwstr>
  </property>
  <property fmtid="{D5CDD505-2E9C-101B-9397-08002B2CF9AE}" pid="3" name="KSOProductBuildVer">
    <vt:lpwstr>2052-12.1.0.24034</vt:lpwstr>
  </property>
  <property fmtid="{D5CDD505-2E9C-101B-9397-08002B2CF9AE}" pid="4" name="ICV">
    <vt:lpwstr>CC3EB542CAFB4D0EB084D399FE222B34_13</vt:lpwstr>
  </property>
</Properties>
</file>