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2127E" w14:textId="5AEA56ED" w:rsidR="00F2179D" w:rsidRPr="00052ADD" w:rsidRDefault="00052ADD" w:rsidP="00052ADD">
      <w:pPr>
        <w:jc w:val="center"/>
        <w:rPr>
          <w:sz w:val="32"/>
          <w:szCs w:val="32"/>
        </w:rPr>
      </w:pPr>
      <w:r>
        <w:rPr>
          <w:rFonts w:hint="eastAsia"/>
          <w:sz w:val="32"/>
          <w:szCs w:val="32"/>
        </w:rPr>
        <w:t>10.13-10.20</w:t>
      </w:r>
      <w:r w:rsidR="00F2179D" w:rsidRPr="00052ADD">
        <w:rPr>
          <w:rFonts w:hint="eastAsia"/>
          <w:sz w:val="32"/>
          <w:szCs w:val="32"/>
        </w:rPr>
        <w:t>学习汇报</w:t>
      </w:r>
    </w:p>
    <w:p w14:paraId="3856A8FD" w14:textId="2D30F117" w:rsidR="00052ADD" w:rsidRPr="00052ADD" w:rsidRDefault="00052ADD" w:rsidP="00052ADD">
      <w:pPr>
        <w:pStyle w:val="a9"/>
        <w:numPr>
          <w:ilvl w:val="0"/>
          <w:numId w:val="17"/>
        </w:numPr>
        <w:rPr>
          <w:rFonts w:hint="eastAsia"/>
          <w:b/>
          <w:bCs/>
          <w:sz w:val="24"/>
          <w:szCs w:val="28"/>
        </w:rPr>
      </w:pPr>
      <w:r w:rsidRPr="00052ADD">
        <w:rPr>
          <w:rFonts w:hint="eastAsia"/>
          <w:b/>
          <w:bCs/>
          <w:sz w:val="24"/>
          <w:szCs w:val="28"/>
        </w:rPr>
        <w:t>概括</w:t>
      </w:r>
    </w:p>
    <w:p w14:paraId="066A52EC" w14:textId="6B15A48D" w:rsidR="00F2179D" w:rsidRDefault="00F2179D" w:rsidP="00F2179D">
      <w:pPr>
        <w:ind w:firstLine="420"/>
      </w:pPr>
      <w:r>
        <w:rPr>
          <w:rFonts w:hint="eastAsia"/>
        </w:rPr>
        <w:t>本周的学习内容囊括了大模型分布式训练的加速、大模型的编译部署以及当前的一些为了解决联邦学习数据异构性、系统异构型（客户端硬件、网络状况能力参差不齐）以及数据异构型等挑战所提出的新颖的联邦学习框架，对当前联邦学习所研究的方向内容都有了初步的理解。</w:t>
      </w:r>
    </w:p>
    <w:p w14:paraId="2770B19A" w14:textId="22F12588" w:rsidR="00F2179D" w:rsidRPr="00052ADD" w:rsidRDefault="00E55810" w:rsidP="00052ADD">
      <w:pPr>
        <w:pStyle w:val="a9"/>
        <w:numPr>
          <w:ilvl w:val="0"/>
          <w:numId w:val="17"/>
        </w:numPr>
        <w:rPr>
          <w:b/>
          <w:bCs/>
          <w:sz w:val="24"/>
          <w:szCs w:val="28"/>
        </w:rPr>
      </w:pPr>
      <w:r w:rsidRPr="00052ADD">
        <w:rPr>
          <w:rFonts w:hint="eastAsia"/>
          <w:b/>
          <w:bCs/>
          <w:sz w:val="24"/>
          <w:szCs w:val="28"/>
        </w:rPr>
        <w:t>具体内容</w:t>
      </w:r>
    </w:p>
    <w:p w14:paraId="76D9C6D5" w14:textId="554CF555" w:rsidR="00E55810" w:rsidRPr="00052ADD" w:rsidRDefault="00E55810" w:rsidP="00052ADD">
      <w:pPr>
        <w:pStyle w:val="a9"/>
        <w:numPr>
          <w:ilvl w:val="0"/>
          <w:numId w:val="19"/>
        </w:numPr>
        <w:rPr>
          <w:sz w:val="28"/>
          <w:szCs w:val="32"/>
        </w:rPr>
      </w:pPr>
      <w:hyperlink r:id="rId5" w:history="1">
        <w:r w:rsidRPr="00052ADD">
          <w:rPr>
            <w:rStyle w:val="ae"/>
            <w:sz w:val="28"/>
            <w:szCs w:val="32"/>
          </w:rPr>
          <w:t>Tile</w:t>
        </w:r>
        <w:r w:rsidRPr="00052ADD">
          <w:rPr>
            <w:rStyle w:val="ae"/>
            <w:rFonts w:hint="eastAsia"/>
            <w:sz w:val="28"/>
            <w:szCs w:val="32"/>
          </w:rPr>
          <w:t>Link</w:t>
        </w:r>
      </w:hyperlink>
    </w:p>
    <w:p w14:paraId="786CC014" w14:textId="024C1630" w:rsidR="00052ADD" w:rsidRPr="00052ADD" w:rsidRDefault="00052ADD" w:rsidP="00052ADD">
      <w:pPr>
        <w:ind w:left="420"/>
        <w:rPr>
          <w:b/>
          <w:bCs/>
          <w:sz w:val="24"/>
          <w:szCs w:val="28"/>
        </w:rPr>
      </w:pPr>
      <w:r w:rsidRPr="00052ADD">
        <w:rPr>
          <w:rFonts w:hint="eastAsia"/>
          <w:b/>
          <w:bCs/>
          <w:sz w:val="24"/>
          <w:szCs w:val="28"/>
        </w:rPr>
        <w:t>提出背景</w:t>
      </w:r>
    </w:p>
    <w:p w14:paraId="7792C999" w14:textId="2EB4C1CD" w:rsidR="00E55810" w:rsidRDefault="002944C1" w:rsidP="00052ADD">
      <w:pPr>
        <w:ind w:left="420" w:firstLineChars="200" w:firstLine="440"/>
      </w:pPr>
      <w:r w:rsidRPr="002944C1">
        <w:t>大型深度学习模型（如 LLM）的规模和计算需求不断增长，必须依赖分布式系统进行训练和推理。在分布式执行中，设备间的通信开销是一个关键瓶颈，即使在高速互连的机器上，通信开销也可能占总执行时间的 10% 到 50% 。</w:t>
      </w:r>
    </w:p>
    <w:p w14:paraId="762C28B1" w14:textId="0D9A11E7" w:rsidR="002944C1" w:rsidRPr="002944C1" w:rsidRDefault="002944C1" w:rsidP="00052ADD">
      <w:pPr>
        <w:ind w:left="420" w:firstLineChars="200" w:firstLine="440"/>
      </w:pPr>
      <w:r w:rsidRPr="002944C1">
        <w:t>为了隐藏这部分开销，最有效的方法是将</w:t>
      </w:r>
      <w:r w:rsidRPr="002944C1">
        <w:rPr>
          <w:b/>
          <w:bCs/>
        </w:rPr>
        <w:t>计算与通信重叠(Overlapping)</w:t>
      </w:r>
      <w:r w:rsidRPr="002944C1">
        <w:t>。目前实现重叠主要有两种技术，但这两种技术都有明显的缺陷：</w:t>
      </w:r>
    </w:p>
    <w:p w14:paraId="17220DD5" w14:textId="6AAD8E5A" w:rsidR="002944C1" w:rsidRPr="002944C1" w:rsidRDefault="002944C1" w:rsidP="002944C1">
      <w:pPr>
        <w:numPr>
          <w:ilvl w:val="0"/>
          <w:numId w:val="2"/>
        </w:numPr>
      </w:pPr>
      <w:r w:rsidRPr="002944C1">
        <w:rPr>
          <w:b/>
          <w:bCs/>
        </w:rPr>
        <w:t>算子分解 (Operator Decomposition):</w:t>
      </w:r>
      <w:r w:rsidRPr="002944C1">
        <w:t xml:space="preserve"> 将大的计算核与通信核分解成更小的单元 。这种方法易于实现，但性能通常不理想 。因为它依赖主机进行同步，会引入不可忽视的开销 ，并且小算子会导致缓存利用率低下。</w:t>
      </w:r>
      <w:r>
        <w:rPr>
          <w:rFonts w:hint="eastAsia"/>
        </w:rPr>
        <w:t>(典型例子是</w:t>
      </w:r>
      <w:proofErr w:type="spellStart"/>
      <w:r>
        <w:rPr>
          <w:rFonts w:hint="eastAsia"/>
        </w:rPr>
        <w:t>tp</w:t>
      </w:r>
      <w:proofErr w:type="spellEnd"/>
      <w:r>
        <w:rPr>
          <w:rFonts w:hint="eastAsia"/>
        </w:rPr>
        <w:t>张量模型并行计算)</w:t>
      </w:r>
    </w:p>
    <w:p w14:paraId="10795DDA" w14:textId="1F3AFED2" w:rsidR="002944C1" w:rsidRPr="002944C1" w:rsidRDefault="002944C1" w:rsidP="002944C1">
      <w:pPr>
        <w:numPr>
          <w:ilvl w:val="0"/>
          <w:numId w:val="2"/>
        </w:numPr>
      </w:pPr>
      <w:r w:rsidRPr="002944C1">
        <w:rPr>
          <w:b/>
          <w:bCs/>
        </w:rPr>
        <w:t>核融合 (Kernel Fusion):</w:t>
      </w:r>
      <w:r w:rsidRPr="002944C1">
        <w:t xml:space="preserve"> 将通信与计算融合到单个核中。这种方法性能很高，因为它使用设备侧屏障 (on-device barriers) 管理数据依赖，无需主机干预 。但其主要缺点是开发极其困难，需要深厚的硬件专业知识且非常容易出错</w:t>
      </w:r>
      <w:r>
        <w:rPr>
          <w:rFonts w:hint="eastAsia"/>
        </w:rPr>
        <w:t>。</w:t>
      </w:r>
    </w:p>
    <w:p w14:paraId="6A3A314F" w14:textId="75B3CD2C" w:rsidR="002944C1" w:rsidRPr="00052ADD" w:rsidRDefault="002944C1" w:rsidP="002944C1">
      <w:pPr>
        <w:ind w:left="420"/>
        <w:rPr>
          <w:b/>
          <w:bCs/>
          <w:sz w:val="24"/>
          <w:szCs w:val="28"/>
        </w:rPr>
      </w:pPr>
      <w:r w:rsidRPr="00052ADD">
        <w:rPr>
          <w:b/>
          <w:bCs/>
          <w:sz w:val="24"/>
          <w:szCs w:val="28"/>
        </w:rPr>
        <w:t>TILELINK 架构</w:t>
      </w:r>
    </w:p>
    <w:p w14:paraId="4FF23AA5" w14:textId="77777777" w:rsidR="002944C1" w:rsidRPr="002944C1" w:rsidRDefault="002944C1" w:rsidP="00052ADD">
      <w:pPr>
        <w:ind w:left="420" w:firstLineChars="200" w:firstLine="440"/>
      </w:pPr>
      <w:r w:rsidRPr="002944C1">
        <w:t>为了解决上述挑战，论文提出了 TILELINK ，一个用于高效编译和生成重叠计算-通信核的框架 。其架构主要由</w:t>
      </w:r>
      <w:r w:rsidRPr="002944C1">
        <w:rPr>
          <w:b/>
          <w:bCs/>
        </w:rPr>
        <w:t>前端 (Frontend)</w:t>
      </w:r>
      <w:r w:rsidRPr="002944C1">
        <w:t xml:space="preserve"> 和 </w:t>
      </w:r>
      <w:r w:rsidRPr="002944C1">
        <w:rPr>
          <w:b/>
          <w:bCs/>
        </w:rPr>
        <w:t>后端 (Backend)</w:t>
      </w:r>
      <w:r w:rsidRPr="002944C1">
        <w:t xml:space="preserve"> 组成 。</w:t>
      </w:r>
    </w:p>
    <w:p w14:paraId="1AC0A449" w14:textId="77777777" w:rsidR="002944C1" w:rsidRPr="002944C1" w:rsidRDefault="002944C1" w:rsidP="002944C1">
      <w:pPr>
        <w:numPr>
          <w:ilvl w:val="0"/>
          <w:numId w:val="3"/>
        </w:numPr>
      </w:pPr>
      <w:r w:rsidRPr="002944C1">
        <w:rPr>
          <w:b/>
          <w:bCs/>
        </w:rPr>
        <w:t>前端 (Frontend):</w:t>
      </w:r>
    </w:p>
    <w:p w14:paraId="6B6B3DEA" w14:textId="272018A3" w:rsidR="002944C1" w:rsidRDefault="002944C1" w:rsidP="002944C1">
      <w:pPr>
        <w:numPr>
          <w:ilvl w:val="1"/>
          <w:numId w:val="3"/>
        </w:numPr>
      </w:pPr>
      <w:r w:rsidRPr="002944C1">
        <w:rPr>
          <w:b/>
          <w:bCs/>
        </w:rPr>
        <w:t>解耦设计空间：</w:t>
      </w:r>
      <w:r w:rsidRPr="002944C1">
        <w:t xml:space="preserve"> TILELINK 的前端首先将通信和计算的设计空间解耦 。这意味着开发者可以为计算和通信独立选择不同的优化策略，例如不同的 Tile 大小、Tile 顺序或资源映射</w:t>
      </w:r>
      <w:r>
        <w:rPr>
          <w:rFonts w:hint="eastAsia"/>
        </w:rPr>
        <w:t>，非常的灵活</w:t>
      </w:r>
      <w:r w:rsidR="00080568">
        <w:rPr>
          <w:rFonts w:hint="eastAsia"/>
        </w:rPr>
        <w:t>，具体如下图。</w:t>
      </w:r>
    </w:p>
    <w:p w14:paraId="36F34D81" w14:textId="3BED4B28" w:rsidR="00080568" w:rsidRPr="002944C1" w:rsidRDefault="00080568" w:rsidP="00080568">
      <w:pPr>
        <w:ind w:left="1080"/>
      </w:pPr>
      <w:r>
        <w:rPr>
          <w:noProof/>
        </w:rPr>
        <w:lastRenderedPageBreak/>
        <w:drawing>
          <wp:inline distT="0" distB="0" distL="0" distR="0" wp14:anchorId="196903BE" wp14:editId="50488C29">
            <wp:extent cx="5274310" cy="2734310"/>
            <wp:effectExtent l="0" t="0" r="2540" b="8890"/>
            <wp:docPr id="452731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31260" name=""/>
                    <pic:cNvPicPr/>
                  </pic:nvPicPr>
                  <pic:blipFill>
                    <a:blip r:embed="rId6"/>
                    <a:stretch>
                      <a:fillRect/>
                    </a:stretch>
                  </pic:blipFill>
                  <pic:spPr>
                    <a:xfrm>
                      <a:off x="0" y="0"/>
                      <a:ext cx="5274310" cy="2734310"/>
                    </a:xfrm>
                    <a:prstGeom prst="rect">
                      <a:avLst/>
                    </a:prstGeom>
                  </pic:spPr>
                </pic:pic>
              </a:graphicData>
            </a:graphic>
          </wp:inline>
        </w:drawing>
      </w:r>
    </w:p>
    <w:p w14:paraId="0C331918" w14:textId="3137BEAF" w:rsidR="002944C1" w:rsidRDefault="002944C1" w:rsidP="002944C1">
      <w:pPr>
        <w:numPr>
          <w:ilvl w:val="1"/>
          <w:numId w:val="3"/>
        </w:numPr>
      </w:pPr>
      <w:r w:rsidRPr="002944C1">
        <w:rPr>
          <w:b/>
          <w:bCs/>
        </w:rPr>
        <w:t>Tile 中心原语：</w:t>
      </w:r>
      <w:r w:rsidRPr="002944C1">
        <w:t xml:space="preserve"> TILELINK 提供了一套核心的“以 Tile 为中心的原语”。这些原语是连接解耦的计算和通信的桥梁 ，分为“信号原语”（用于屏障和同步）和“数据原语”（用于数据传输</w:t>
      </w:r>
      <w:r>
        <w:rPr>
          <w:rFonts w:hint="eastAsia"/>
        </w:rPr>
        <w:t>）</w:t>
      </w:r>
      <w:r w:rsidR="00080568">
        <w:rPr>
          <w:rFonts w:hint="eastAsia"/>
        </w:rPr>
        <w:t>。具体例子如下表</w:t>
      </w:r>
    </w:p>
    <w:p w14:paraId="6AF4B7BB" w14:textId="483DA5A5" w:rsidR="00080568" w:rsidRDefault="00080568" w:rsidP="00080568">
      <w:pPr>
        <w:ind w:left="1080"/>
      </w:pPr>
      <w:r>
        <w:rPr>
          <w:noProof/>
        </w:rPr>
        <w:drawing>
          <wp:inline distT="0" distB="0" distL="0" distR="0" wp14:anchorId="00088695" wp14:editId="1A997A46">
            <wp:extent cx="5521749" cy="2436457"/>
            <wp:effectExtent l="0" t="0" r="3175" b="2540"/>
            <wp:docPr id="478291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91693" name=""/>
                    <pic:cNvPicPr/>
                  </pic:nvPicPr>
                  <pic:blipFill>
                    <a:blip r:embed="rId7"/>
                    <a:stretch>
                      <a:fillRect/>
                    </a:stretch>
                  </pic:blipFill>
                  <pic:spPr>
                    <a:xfrm>
                      <a:off x="0" y="0"/>
                      <a:ext cx="5527026" cy="2438786"/>
                    </a:xfrm>
                    <a:prstGeom prst="rect">
                      <a:avLst/>
                    </a:prstGeom>
                  </pic:spPr>
                </pic:pic>
              </a:graphicData>
            </a:graphic>
          </wp:inline>
        </w:drawing>
      </w:r>
    </w:p>
    <w:p w14:paraId="1D5438AD" w14:textId="6BFECFE7" w:rsidR="00080568" w:rsidRPr="002944C1" w:rsidRDefault="00080568" w:rsidP="00052ADD">
      <w:pPr>
        <w:ind w:left="1080" w:firstLineChars="200" w:firstLine="440"/>
        <w:rPr>
          <w:rFonts w:hint="eastAsia"/>
        </w:rPr>
      </w:pPr>
      <w:r>
        <w:rPr>
          <w:rFonts w:hint="eastAsia"/>
        </w:rPr>
        <w:t>这里的这些原语</w:t>
      </w:r>
      <w:r w:rsidR="002F6177">
        <w:rPr>
          <w:rFonts w:hint="eastAsia"/>
        </w:rPr>
        <w:t>与传统的框架如</w:t>
      </w:r>
      <w:proofErr w:type="spellStart"/>
      <w:r w:rsidR="002F6177">
        <w:rPr>
          <w:rFonts w:hint="eastAsia"/>
        </w:rPr>
        <w:t>pytorch</w:t>
      </w:r>
      <w:proofErr w:type="spellEnd"/>
      <w:r w:rsidR="002F6177">
        <w:rPr>
          <w:rFonts w:hint="eastAsia"/>
        </w:rPr>
        <w:t>不同的原语不同，这里是转为编译器设计的，遵循Tile级别的抽象，并且还引入了内存一致性语义。图中信号原语既有</w:t>
      </w:r>
      <w:proofErr w:type="spellStart"/>
      <w:r w:rsidR="002F6177" w:rsidRPr="002F6177">
        <w:t>producer_tile_notify</w:t>
      </w:r>
      <w:proofErr w:type="spellEnd"/>
      <w:r w:rsidR="002F6177" w:rsidRPr="002F6177">
        <w:t xml:space="preserve"> / </w:t>
      </w:r>
      <w:proofErr w:type="spellStart"/>
      <w:r w:rsidR="002F6177" w:rsidRPr="002F6177">
        <w:t>consumer_tile_wait</w:t>
      </w:r>
      <w:proofErr w:type="spellEnd"/>
      <w:r w:rsidR="002F6177">
        <w:rPr>
          <w:rFonts w:hint="eastAsia"/>
        </w:rPr>
        <w:t>处理生产者-消费者关系</w:t>
      </w:r>
      <w:r w:rsidR="002F6177" w:rsidRPr="002F6177">
        <w:t xml:space="preserve">（例如 </w:t>
      </w:r>
      <w:proofErr w:type="spellStart"/>
      <w:r w:rsidR="002F6177" w:rsidRPr="002F6177">
        <w:t>AllGather</w:t>
      </w:r>
      <w:proofErr w:type="spellEnd"/>
      <w:r w:rsidR="002F6177" w:rsidRPr="002F6177">
        <w:t xml:space="preserve"> 算子和 GEMM 算子之间的 Tile 依赖</w:t>
      </w:r>
      <w:r w:rsidR="002F6177">
        <w:rPr>
          <w:rFonts w:hint="eastAsia"/>
        </w:rPr>
        <w:t>）的原语，还有如</w:t>
      </w:r>
      <w:proofErr w:type="spellStart"/>
      <w:r w:rsidR="002F6177" w:rsidRPr="002F6177">
        <w:t>peer_tile_notify</w:t>
      </w:r>
      <w:proofErr w:type="spellEnd"/>
      <w:r w:rsidR="002F6177" w:rsidRPr="002F6177">
        <w:t xml:space="preserve"> / </w:t>
      </w:r>
      <w:proofErr w:type="spellStart"/>
      <w:r w:rsidR="002F6177" w:rsidRPr="002F6177">
        <w:t>peer_tile_wait</w:t>
      </w:r>
      <w:proofErr w:type="spellEnd"/>
      <w:r w:rsidR="002F6177" w:rsidRPr="002F6177">
        <w:t>:用于不同 rank（设备）上同一算子的 Tile 之间（即对等方之间）</w:t>
      </w:r>
      <w:r w:rsidR="002F6177">
        <w:rPr>
          <w:rFonts w:hint="eastAsia"/>
        </w:rPr>
        <w:t>的原语</w:t>
      </w:r>
      <w:r w:rsidR="002F6177" w:rsidRPr="002F6177">
        <w:t>，允许用户构建各种 Tile 处理顺序</w:t>
      </w:r>
      <w:r w:rsidR="002F6177">
        <w:rPr>
          <w:rFonts w:hint="eastAsia"/>
        </w:rPr>
        <w:t>。而数据原语主要区分了</w:t>
      </w:r>
      <w:r w:rsidR="002F6177" w:rsidRPr="002F6177">
        <w:rPr>
          <w:rFonts w:hint="eastAsia"/>
        </w:rPr>
        <w:t>设备侧和主机侧 (控制资源映射)</w:t>
      </w:r>
      <w:r w:rsidR="002F6177">
        <w:rPr>
          <w:rFonts w:hint="eastAsia"/>
        </w:rPr>
        <w:t>以及支持了</w:t>
      </w:r>
      <w:r w:rsidR="002F6177" w:rsidRPr="002F6177">
        <w:rPr>
          <w:rFonts w:hint="eastAsia"/>
        </w:rPr>
        <w:t>两种传输模式 (Pull 和 Push)</w:t>
      </w:r>
    </w:p>
    <w:p w14:paraId="71A8ACDF" w14:textId="77777777" w:rsidR="002944C1" w:rsidRPr="002944C1" w:rsidRDefault="002944C1" w:rsidP="002944C1">
      <w:pPr>
        <w:ind w:left="420"/>
      </w:pPr>
      <w:r w:rsidRPr="002944C1">
        <w:rPr>
          <w:b/>
          <w:bCs/>
        </w:rPr>
        <w:t>后端 (Backend):</w:t>
      </w:r>
    </w:p>
    <w:p w14:paraId="6EFCD142" w14:textId="77777777" w:rsidR="002944C1" w:rsidRPr="002944C1" w:rsidRDefault="002944C1" w:rsidP="002944C1">
      <w:pPr>
        <w:numPr>
          <w:ilvl w:val="0"/>
          <w:numId w:val="4"/>
        </w:numPr>
      </w:pPr>
      <w:r w:rsidRPr="002944C1">
        <w:rPr>
          <w:b/>
          <w:bCs/>
        </w:rPr>
        <w:t>编译与集成：</w:t>
      </w:r>
      <w:r w:rsidRPr="002944C1">
        <w:t xml:space="preserve"> 后端负责将前端的“Tile 中心原语”翻译成低级硬件通信指令 。</w:t>
      </w:r>
    </w:p>
    <w:p w14:paraId="73F4C0B1" w14:textId="07EC9AC3" w:rsidR="002944C1" w:rsidRDefault="002944C1" w:rsidP="002944C1">
      <w:pPr>
        <w:numPr>
          <w:ilvl w:val="0"/>
          <w:numId w:val="4"/>
        </w:numPr>
      </w:pPr>
      <w:r w:rsidRPr="002944C1">
        <w:rPr>
          <w:b/>
          <w:bCs/>
        </w:rPr>
        <w:t>Tile 中心映射：</w:t>
      </w:r>
      <w:r w:rsidRPr="002944C1">
        <w:t xml:space="preserve"> TILELINK 使用一种“以 Tile 为中心的映射” (tile-centric mapping)策略来集成通信和计算组件。</w:t>
      </w:r>
      <w:r>
        <w:rPr>
          <w:rFonts w:hint="eastAsia"/>
        </w:rPr>
        <w:t>（传统的通信算子是作用于整个张量的，</w:t>
      </w:r>
      <w:proofErr w:type="spellStart"/>
      <w:r>
        <w:rPr>
          <w:rFonts w:hint="eastAsia"/>
        </w:rPr>
        <w:t>tilelink</w:t>
      </w:r>
      <w:proofErr w:type="spellEnd"/>
      <w:r>
        <w:rPr>
          <w:rFonts w:hint="eastAsia"/>
        </w:rPr>
        <w:t>则作用于更小的数据快）。</w:t>
      </w:r>
      <w:r w:rsidRPr="002944C1">
        <w:t>这种映射包含三个部分：形状映射 (</w:t>
      </w:r>
      <w:r>
        <w:rPr>
          <w:rFonts w:hint="eastAsia"/>
        </w:rPr>
        <w:t>负责将每一个</w:t>
      </w:r>
      <w:proofErr w:type="spellStart"/>
      <w:r>
        <w:rPr>
          <w:rFonts w:hint="eastAsia"/>
        </w:rPr>
        <w:t>tile_id</w:t>
      </w:r>
      <w:proofErr w:type="spellEnd"/>
      <w:r>
        <w:rPr>
          <w:rFonts w:hint="eastAsia"/>
        </w:rPr>
        <w:t>与张量形状中的一个特定的slice进行映射)</w:t>
      </w:r>
      <w:r w:rsidRPr="002944C1">
        <w:t>、</w:t>
      </w:r>
      <w:r>
        <w:rPr>
          <w:rFonts w:hint="eastAsia"/>
        </w:rPr>
        <w:t>Rank</w:t>
      </w:r>
      <w:r w:rsidRPr="002944C1">
        <w:t>映射 (</w:t>
      </w:r>
      <w:r>
        <w:rPr>
          <w:rFonts w:hint="eastAsia"/>
        </w:rPr>
        <w:t>将一个</w:t>
      </w:r>
      <w:proofErr w:type="spellStart"/>
      <w:r>
        <w:rPr>
          <w:rFonts w:hint="eastAsia"/>
        </w:rPr>
        <w:t>tile_id</w:t>
      </w:r>
      <w:proofErr w:type="spellEnd"/>
      <w:r>
        <w:rPr>
          <w:rFonts w:hint="eastAsia"/>
        </w:rPr>
        <w:t>链接到一个具体的设备</w:t>
      </w:r>
      <w:r w:rsidRPr="002944C1">
        <w:t>) 和通道映射 (</w:t>
      </w:r>
      <w:r>
        <w:rPr>
          <w:rFonts w:hint="eastAsia"/>
        </w:rPr>
        <w:t>负责为每一个</w:t>
      </w:r>
      <w:proofErr w:type="spellStart"/>
      <w:r>
        <w:rPr>
          <w:rFonts w:hint="eastAsia"/>
        </w:rPr>
        <w:t>tile_id</w:t>
      </w:r>
      <w:proofErr w:type="spellEnd"/>
      <w:r>
        <w:rPr>
          <w:rFonts w:hint="eastAsia"/>
        </w:rPr>
        <w:t>分配一个用于同步的</w:t>
      </w:r>
      <w:proofErr w:type="gramStart"/>
      <w:r>
        <w:rPr>
          <w:rFonts w:hint="eastAsia"/>
        </w:rPr>
        <w:t>“</w:t>
      </w:r>
      <w:proofErr w:type="gramEnd"/>
      <w:r>
        <w:rPr>
          <w:rFonts w:hint="eastAsia"/>
        </w:rPr>
        <w:t>通信屏障“</w:t>
      </w:r>
      <w:r w:rsidRPr="002944C1">
        <w:t>)</w:t>
      </w:r>
      <w:r w:rsidR="009D184D">
        <w:rPr>
          <w:rFonts w:hint="eastAsia"/>
        </w:rPr>
        <w:t>。具体来说，论文这里提到还涉及到静态映射以及动态映射，他们的场景不同，计算方法公式也不同。</w:t>
      </w:r>
    </w:p>
    <w:p w14:paraId="4777F83D" w14:textId="325944F3" w:rsidR="002F6177" w:rsidRPr="00052ADD" w:rsidRDefault="002F6177" w:rsidP="002F6177">
      <w:pPr>
        <w:ind w:left="360"/>
        <w:rPr>
          <w:b/>
          <w:bCs/>
          <w:sz w:val="24"/>
          <w:szCs w:val="28"/>
        </w:rPr>
      </w:pPr>
      <w:r w:rsidRPr="00052ADD">
        <w:rPr>
          <w:rFonts w:hint="eastAsia"/>
          <w:b/>
          <w:bCs/>
          <w:sz w:val="24"/>
          <w:szCs w:val="28"/>
        </w:rPr>
        <w:t>使用</w:t>
      </w:r>
      <w:proofErr w:type="spellStart"/>
      <w:r w:rsidRPr="00052ADD">
        <w:rPr>
          <w:rFonts w:hint="eastAsia"/>
          <w:b/>
          <w:bCs/>
          <w:sz w:val="24"/>
          <w:szCs w:val="28"/>
        </w:rPr>
        <w:t>TileLInk</w:t>
      </w:r>
      <w:proofErr w:type="spellEnd"/>
      <w:r w:rsidRPr="00052ADD">
        <w:rPr>
          <w:rFonts w:hint="eastAsia"/>
          <w:b/>
          <w:bCs/>
          <w:sz w:val="24"/>
          <w:szCs w:val="28"/>
        </w:rPr>
        <w:t>设计</w:t>
      </w:r>
      <w:r w:rsidR="009D184D" w:rsidRPr="00052ADD">
        <w:rPr>
          <w:rFonts w:hint="eastAsia"/>
          <w:b/>
          <w:bCs/>
          <w:sz w:val="24"/>
          <w:szCs w:val="28"/>
        </w:rPr>
        <w:t>相关Kernel示例</w:t>
      </w:r>
    </w:p>
    <w:p w14:paraId="502FF6B9" w14:textId="77777777" w:rsidR="009D184D" w:rsidRPr="009D184D" w:rsidRDefault="009D184D" w:rsidP="00052ADD">
      <w:pPr>
        <w:ind w:left="360" w:firstLineChars="200" w:firstLine="440"/>
      </w:pPr>
      <w:r w:rsidRPr="009D184D">
        <w:t xml:space="preserve">在论文的第 5 节 "Kernel Design with </w:t>
      </w:r>
      <w:proofErr w:type="spellStart"/>
      <w:r w:rsidRPr="009D184D">
        <w:t>TileLink</w:t>
      </w:r>
      <w:proofErr w:type="spellEnd"/>
      <w:r w:rsidRPr="009D184D">
        <w:t>" 中，作者通过三个代表性的示例，展示了 TILELINK 框架的灵活性和通用性 。</w:t>
      </w:r>
    </w:p>
    <w:p w14:paraId="5B18F7CA" w14:textId="3C863C3C" w:rsidR="009D184D" w:rsidRPr="009D184D" w:rsidRDefault="009D184D" w:rsidP="00052ADD">
      <w:pPr>
        <w:ind w:left="360" w:firstLineChars="200" w:firstLine="440"/>
      </w:pPr>
      <w:r w:rsidRPr="009D184D">
        <w:t>这三个示例之所以具有代表性，是因为它们分别利用了不同的 Tile 顺序（环形和全对全）、不同的映射（静态和动态）以及不同的硬件资源（设备和主机）</w:t>
      </w:r>
      <w:r>
        <w:rPr>
          <w:rFonts w:hint="eastAsia"/>
        </w:rPr>
        <w:t>。</w:t>
      </w:r>
      <w:r w:rsidRPr="009D184D">
        <w:t>这一部分通过具体的伪代码示例，证明了 TILELINK 及其原语能够灵活地设计各种重叠核，并且显著降低了编程复杂度。</w:t>
      </w:r>
    </w:p>
    <w:p w14:paraId="73DE50A9" w14:textId="5FEE30F8" w:rsidR="009D184D" w:rsidRDefault="009D184D" w:rsidP="00052ADD">
      <w:pPr>
        <w:ind w:left="360" w:firstLineChars="200" w:firstLine="440"/>
      </w:pPr>
      <w:r>
        <w:rPr>
          <w:rFonts w:hint="eastAsia"/>
        </w:rPr>
        <w:t>下面是使用</w:t>
      </w:r>
      <w:proofErr w:type="spellStart"/>
      <w:r>
        <w:rPr>
          <w:rFonts w:hint="eastAsia"/>
        </w:rPr>
        <w:t>TileLink</w:t>
      </w:r>
      <w:proofErr w:type="spellEnd"/>
      <w:r>
        <w:rPr>
          <w:rFonts w:hint="eastAsia"/>
        </w:rPr>
        <w:t>去编程的GEMM+RS重叠内核，这个场景使用的是静态映射的计算。</w:t>
      </w:r>
      <w:r>
        <w:br/>
      </w:r>
      <w:r w:rsidRPr="009D184D">
        <w:rPr>
          <w:noProof/>
        </w:rPr>
        <w:drawing>
          <wp:inline distT="0" distB="0" distL="0" distR="0" wp14:anchorId="42AA0E5A" wp14:editId="4FD9785A">
            <wp:extent cx="5625507" cy="2510686"/>
            <wp:effectExtent l="0" t="0" r="0" b="4445"/>
            <wp:docPr id="122400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52120" cy="2522564"/>
                    </a:xfrm>
                    <a:prstGeom prst="rect">
                      <a:avLst/>
                    </a:prstGeom>
                    <a:noFill/>
                    <a:ln>
                      <a:noFill/>
                    </a:ln>
                  </pic:spPr>
                </pic:pic>
              </a:graphicData>
            </a:graphic>
          </wp:inline>
        </w:drawing>
      </w:r>
    </w:p>
    <w:p w14:paraId="52A3BCFE" w14:textId="77777777" w:rsidR="009D184D" w:rsidRPr="002944C1" w:rsidRDefault="009D184D" w:rsidP="002F6177">
      <w:pPr>
        <w:ind w:left="360"/>
        <w:rPr>
          <w:rFonts w:hint="eastAsia"/>
        </w:rPr>
      </w:pPr>
    </w:p>
    <w:p w14:paraId="7175A3FD" w14:textId="77777777" w:rsidR="002F6177" w:rsidRPr="002F6177" w:rsidRDefault="002F6177" w:rsidP="00052ADD">
      <w:pPr>
        <w:ind w:left="420" w:firstLineChars="200" w:firstLine="440"/>
      </w:pPr>
      <w:r w:rsidRPr="002F6177">
        <w:t>TILELINK 的核心创新点在于它如何弥合“易用性”和“高性能”之间的差距：</w:t>
      </w:r>
    </w:p>
    <w:p w14:paraId="4921162C" w14:textId="77777777" w:rsidR="002F6177" w:rsidRPr="002F6177" w:rsidRDefault="002F6177" w:rsidP="002F6177">
      <w:pPr>
        <w:numPr>
          <w:ilvl w:val="0"/>
          <w:numId w:val="5"/>
        </w:numPr>
      </w:pPr>
      <w:r w:rsidRPr="002F6177">
        <w:t>提出“Tile 中心原语” (Tile-Centric Primitives):</w:t>
      </w:r>
    </w:p>
    <w:p w14:paraId="155C7A2B" w14:textId="04DE0507" w:rsidR="002F6177" w:rsidRPr="002F6177" w:rsidRDefault="002F6177" w:rsidP="00052ADD">
      <w:pPr>
        <w:ind w:left="420" w:firstLineChars="200" w:firstLine="440"/>
      </w:pPr>
      <w:r w:rsidRPr="002F6177">
        <w:t xml:space="preserve">这是 TILELINK 的核心创新。与现有框架（如 </w:t>
      </w:r>
      <w:proofErr w:type="spellStart"/>
      <w:r w:rsidRPr="002F6177">
        <w:t>PyTorch</w:t>
      </w:r>
      <w:proofErr w:type="spellEnd"/>
      <w:r w:rsidRPr="002F6177">
        <w:t>）中“以算子为中心” (operator-centric) 的粗粒度原语不同TILELINK 的原语是“以 Tile 为中心”的。这些原语提供了抽象的信令和数据通信语义，隐藏了复杂的低级细节（如指针管理和屏障控制）。这使得开发者能用高级语言（如 Python）高效地编写高性能的融合核。</w:t>
      </w:r>
    </w:p>
    <w:p w14:paraId="17C7717B" w14:textId="77777777" w:rsidR="002F6177" w:rsidRPr="002F6177" w:rsidRDefault="002F6177" w:rsidP="002F6177">
      <w:pPr>
        <w:numPr>
          <w:ilvl w:val="0"/>
          <w:numId w:val="5"/>
        </w:numPr>
      </w:pPr>
      <w:r w:rsidRPr="002F6177">
        <w:t>解耦的设计空间 (Decoupled Design Space):</w:t>
      </w:r>
    </w:p>
    <w:p w14:paraId="59593574" w14:textId="1F666303" w:rsidR="002F6177" w:rsidRPr="002F6177" w:rsidRDefault="002F6177" w:rsidP="00052ADD">
      <w:pPr>
        <w:ind w:left="420" w:firstLineChars="200" w:firstLine="440"/>
      </w:pPr>
      <w:r w:rsidRPr="002F6177">
        <w:t>TILELINK 创新地将通信和计算的优化策略（如 Tile 大小、顺序、资源绑定）分离开来。这提供了极大的灵活性，允许通信和计算各自采用最优配置以达到最佳性能。例如，计算部分可以使用 128×256 的 Tile，而通信部分同时使用 128×128 的 Tile。</w:t>
      </w:r>
    </w:p>
    <w:p w14:paraId="4E647EB4" w14:textId="77777777" w:rsidR="002F6177" w:rsidRPr="002F6177" w:rsidRDefault="002F6177" w:rsidP="002F6177">
      <w:pPr>
        <w:numPr>
          <w:ilvl w:val="0"/>
          <w:numId w:val="5"/>
        </w:numPr>
      </w:pPr>
      <w:r w:rsidRPr="002F6177">
        <w:t>支持动态映射 (Dynamic Mapping):</w:t>
      </w:r>
    </w:p>
    <w:p w14:paraId="005D97E3" w14:textId="309A5599" w:rsidR="002F6177" w:rsidRPr="002F6177" w:rsidRDefault="002F6177" w:rsidP="00052ADD">
      <w:pPr>
        <w:ind w:left="420" w:firstLineChars="200" w:firstLine="440"/>
      </w:pPr>
      <w:r w:rsidRPr="002F6177">
        <w:t xml:space="preserve">TILELINK 的后端映射策略不仅支持静态映射（编译时确定），还创新性地支持动态映射（运行时通过查找表计算）。这是一个关键优势，使 TILELINK 能够支持具有动态数据路由的复杂工作负载，例如 </w:t>
      </w:r>
      <w:proofErr w:type="spellStart"/>
      <w:r w:rsidRPr="002F6177">
        <w:t>MoE</w:t>
      </w:r>
      <w:proofErr w:type="spellEnd"/>
      <w:r w:rsidRPr="002F6177">
        <w:t xml:space="preserve">（混合专家模型）。而现有的融合库（如 FLUX）和分解工具（如 Async-TP）均不支持 </w:t>
      </w:r>
      <w:proofErr w:type="spellStart"/>
      <w:r w:rsidRPr="002F6177">
        <w:t>MoE</w:t>
      </w:r>
      <w:proofErr w:type="spellEnd"/>
      <w:r w:rsidRPr="002F6177">
        <w:t xml:space="preserve"> 层的重叠</w:t>
      </w:r>
      <w:r>
        <w:rPr>
          <w:rFonts w:hint="eastAsia"/>
        </w:rPr>
        <w:t>。</w:t>
      </w:r>
    </w:p>
    <w:p w14:paraId="2D348D7B" w14:textId="406810BF" w:rsidR="002A7755" w:rsidRPr="002A7755" w:rsidRDefault="002A7755" w:rsidP="002A7755">
      <w:pPr>
        <w:rPr>
          <w:b/>
          <w:bCs/>
          <w:sz w:val="24"/>
          <w:szCs w:val="28"/>
        </w:rPr>
      </w:pPr>
      <w:r w:rsidRPr="002A7755">
        <w:rPr>
          <w:b/>
          <w:bCs/>
          <w:sz w:val="24"/>
          <w:szCs w:val="28"/>
        </w:rPr>
        <w:t>编译流程</w:t>
      </w:r>
    </w:p>
    <w:p w14:paraId="54246D71" w14:textId="2F0E5194" w:rsidR="002A7755" w:rsidRDefault="002A7755" w:rsidP="00052ADD">
      <w:pPr>
        <w:ind w:firstLineChars="200" w:firstLine="440"/>
      </w:pPr>
      <w:r w:rsidRPr="002A7755">
        <w:t>TILELINK 的编译流程（如</w:t>
      </w:r>
      <w:r>
        <w:rPr>
          <w:rFonts w:hint="eastAsia"/>
        </w:rPr>
        <w:t>下</w:t>
      </w:r>
      <w:r w:rsidRPr="002A7755">
        <w:t>图所示）是建立在 Python 和 Triton 之上的，其核心是将高级的 Tile 中心原语转换为低级设备代码。</w:t>
      </w:r>
    </w:p>
    <w:p w14:paraId="26C99FBE" w14:textId="637DA632" w:rsidR="002A7755" w:rsidRPr="002A7755" w:rsidRDefault="002A7755" w:rsidP="002A7755">
      <w:pPr>
        <w:rPr>
          <w:rFonts w:hint="eastAsia"/>
        </w:rPr>
      </w:pPr>
      <w:r>
        <w:rPr>
          <w:noProof/>
        </w:rPr>
        <w:drawing>
          <wp:inline distT="0" distB="0" distL="0" distR="0" wp14:anchorId="665DC59F" wp14:editId="4322AFDA">
            <wp:extent cx="5470182" cy="1950720"/>
            <wp:effectExtent l="0" t="0" r="0" b="0"/>
            <wp:docPr id="1447172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72756" name=""/>
                    <pic:cNvPicPr/>
                  </pic:nvPicPr>
                  <pic:blipFill>
                    <a:blip r:embed="rId9"/>
                    <a:stretch>
                      <a:fillRect/>
                    </a:stretch>
                  </pic:blipFill>
                  <pic:spPr>
                    <a:xfrm>
                      <a:off x="0" y="0"/>
                      <a:ext cx="5471417" cy="1951160"/>
                    </a:xfrm>
                    <a:prstGeom prst="rect">
                      <a:avLst/>
                    </a:prstGeom>
                  </pic:spPr>
                </pic:pic>
              </a:graphicData>
            </a:graphic>
          </wp:inline>
        </w:drawing>
      </w:r>
    </w:p>
    <w:p w14:paraId="14876604" w14:textId="22A9B9BE" w:rsidR="002A7755" w:rsidRPr="002A7755" w:rsidRDefault="002A7755" w:rsidP="002A7755">
      <w:pPr>
        <w:numPr>
          <w:ilvl w:val="0"/>
          <w:numId w:val="6"/>
        </w:numPr>
      </w:pPr>
      <w:r w:rsidRPr="002A7755">
        <w:rPr>
          <w:b/>
          <w:bCs/>
        </w:rPr>
        <w:t>实现基础：</w:t>
      </w:r>
      <w:r w:rsidRPr="002A7755">
        <w:t>TILELINK在Python 层面基于Triton实现。它通过Python抽象语法树(AST)转换来实现Tile中心的映射机制 。</w:t>
      </w:r>
    </w:p>
    <w:p w14:paraId="29615264" w14:textId="77777777" w:rsidR="002A7755" w:rsidRPr="002A7755" w:rsidRDefault="002A7755" w:rsidP="002A7755">
      <w:pPr>
        <w:numPr>
          <w:ilvl w:val="0"/>
          <w:numId w:val="6"/>
        </w:numPr>
      </w:pPr>
      <w:r w:rsidRPr="002A7755">
        <w:rPr>
          <w:b/>
          <w:bCs/>
        </w:rPr>
        <w:t>输入：</w:t>
      </w:r>
      <w:r w:rsidRPr="002A7755">
        <w:t xml:space="preserve"> 编译器接收一个 Python 程序，该程序混合了 TILELINK 的原语和 Triton 的原生原语 。</w:t>
      </w:r>
    </w:p>
    <w:p w14:paraId="15A27CE1" w14:textId="77777777" w:rsidR="002A7755" w:rsidRPr="002A7755" w:rsidRDefault="002A7755" w:rsidP="002A7755">
      <w:pPr>
        <w:numPr>
          <w:ilvl w:val="0"/>
          <w:numId w:val="6"/>
        </w:numPr>
      </w:pPr>
      <w:proofErr w:type="spellStart"/>
      <w:r w:rsidRPr="002A7755">
        <w:rPr>
          <w:b/>
          <w:bCs/>
        </w:rPr>
        <w:t>BlockChannel</w:t>
      </w:r>
      <w:proofErr w:type="spellEnd"/>
      <w:r w:rsidRPr="002A7755">
        <w:rPr>
          <w:b/>
          <w:bCs/>
        </w:rPr>
        <w:t xml:space="preserve"> 参数：</w:t>
      </w:r>
      <w:r w:rsidRPr="002A7755">
        <w:t xml:space="preserve"> 一个特殊的 </w:t>
      </w:r>
      <w:proofErr w:type="spellStart"/>
      <w:r w:rsidRPr="002A7755">
        <w:t>BlockChannel</w:t>
      </w:r>
      <w:proofErr w:type="spellEnd"/>
      <w:r w:rsidRPr="002A7755">
        <w:t xml:space="preserve"> 参数被传入，它封装了所有分布式的映射元数据，如当前 rank、总 rank 数、屏障配置以及生产者/消费者关系等 。</w:t>
      </w:r>
    </w:p>
    <w:p w14:paraId="159D8035" w14:textId="77777777" w:rsidR="002A7755" w:rsidRPr="002A7755" w:rsidRDefault="002A7755" w:rsidP="002A7755">
      <w:pPr>
        <w:numPr>
          <w:ilvl w:val="0"/>
          <w:numId w:val="6"/>
        </w:numPr>
      </w:pPr>
      <w:r w:rsidRPr="002A7755">
        <w:rPr>
          <w:b/>
          <w:bCs/>
        </w:rPr>
        <w:t>AST 到 Triton IR：</w:t>
      </w:r>
      <w:r w:rsidRPr="002A7755">
        <w:t xml:space="preserve"> Python AST 被解析并转换为 Triton IR 。在此过程中，</w:t>
      </w:r>
      <w:proofErr w:type="spellStart"/>
      <w:r w:rsidRPr="002A7755">
        <w:t>BlockChannel</w:t>
      </w:r>
      <w:proofErr w:type="spellEnd"/>
      <w:r w:rsidRPr="002A7755">
        <w:t xml:space="preserve"> 参数被分解以构建 Tile 中心的映射 ，同时 TILELINK 的原语（如 </w:t>
      </w:r>
      <w:proofErr w:type="spellStart"/>
      <w:r w:rsidRPr="002A7755">
        <w:t>producer_tile_notify</w:t>
      </w:r>
      <w:proofErr w:type="spellEnd"/>
      <w:r w:rsidRPr="002A7755">
        <w:t xml:space="preserve">）被转换为 Triton 的 </w:t>
      </w:r>
      <w:proofErr w:type="spellStart"/>
      <w:r w:rsidRPr="002A7755">
        <w:t>ElementwiseInlineAsmOp</w:t>
      </w:r>
      <w:proofErr w:type="spellEnd"/>
      <w:r w:rsidRPr="002A7755">
        <w:t>（一种嵌入内联汇编的操作） 。</w:t>
      </w:r>
    </w:p>
    <w:p w14:paraId="564C3B22" w14:textId="77777777" w:rsidR="002A7755" w:rsidRPr="002A7755" w:rsidRDefault="002A7755" w:rsidP="002A7755">
      <w:pPr>
        <w:numPr>
          <w:ilvl w:val="0"/>
          <w:numId w:val="6"/>
        </w:numPr>
      </w:pPr>
      <w:r w:rsidRPr="002A7755">
        <w:rPr>
          <w:b/>
          <w:bCs/>
        </w:rPr>
        <w:t>Triton IR 到 LLVM IR：</w:t>
      </w:r>
      <w:r w:rsidRPr="002A7755">
        <w:t xml:space="preserve"> Triton IR 随后被降低到 Triton GPU IR 和一个 TILELINK 引入的新的</w:t>
      </w:r>
      <w:r w:rsidRPr="002A7755">
        <w:rPr>
          <w:b/>
          <w:bCs/>
        </w:rPr>
        <w:t>分布式 IR (Distributed IR)</w:t>
      </w:r>
      <w:r w:rsidRPr="002A7755">
        <w:t xml:space="preserve"> 。这个分布式 IR 负责将 </w:t>
      </w:r>
      <w:proofErr w:type="spellStart"/>
      <w:r w:rsidRPr="002A7755">
        <w:t>ElementwiseInlineAsmOp</w:t>
      </w:r>
      <w:proofErr w:type="spellEnd"/>
      <w:r w:rsidRPr="002A7755">
        <w:t xml:space="preserve"> 中的特殊指令翻译成 LLVM IR 。</w:t>
      </w:r>
    </w:p>
    <w:p w14:paraId="458564F0" w14:textId="77777777" w:rsidR="002A7755" w:rsidRPr="002A7755" w:rsidRDefault="002A7755" w:rsidP="002A7755">
      <w:pPr>
        <w:numPr>
          <w:ilvl w:val="0"/>
          <w:numId w:val="6"/>
        </w:numPr>
      </w:pPr>
      <w:r w:rsidRPr="002A7755">
        <w:rPr>
          <w:b/>
          <w:bCs/>
        </w:rPr>
        <w:t>生成代码：</w:t>
      </w:r>
      <w:r w:rsidRPr="002A7755">
        <w:t xml:space="preserve"> 最终，LLVM IR 被编译为特定后端的代码，例如用于 NVIDIA GPU 的 PTX 。</w:t>
      </w:r>
    </w:p>
    <w:p w14:paraId="297E2002" w14:textId="77777777" w:rsidR="002A7755" w:rsidRPr="002A7755" w:rsidRDefault="002A7755" w:rsidP="002A7755">
      <w:pPr>
        <w:numPr>
          <w:ilvl w:val="0"/>
          <w:numId w:val="6"/>
        </w:numPr>
      </w:pPr>
      <w:r w:rsidRPr="002A7755">
        <w:rPr>
          <w:b/>
          <w:bCs/>
        </w:rPr>
        <w:t>运行时：</w:t>
      </w:r>
      <w:r w:rsidRPr="002A7755">
        <w:t xml:space="preserve"> 在运行时，TILELINK 使用 NVSHMEM 来初始化分布式环境和分配共享内存 。</w:t>
      </w:r>
    </w:p>
    <w:p w14:paraId="38745DCC" w14:textId="5E7273E1" w:rsidR="00F2179D" w:rsidRDefault="002A7755" w:rsidP="00052ADD">
      <w:pPr>
        <w:ind w:firstLineChars="200" w:firstLine="440"/>
      </w:pPr>
      <w:r>
        <w:rPr>
          <w:rFonts w:hint="eastAsia"/>
        </w:rPr>
        <w:t>最终结果：</w:t>
      </w:r>
      <w:r w:rsidRPr="002A7755">
        <w:t>TILELINK 相比非重叠基线实现了1.1</w:t>
      </w:r>
      <w:r>
        <w:rPr>
          <w:rFonts w:hint="eastAsia"/>
        </w:rPr>
        <w:t>7</w:t>
      </w:r>
      <w:r w:rsidRPr="002A7755">
        <w:t xml:space="preserve">倍至20.76倍的加速 ，同时达到了与 SOTA </w:t>
      </w:r>
      <w:proofErr w:type="gramStart"/>
      <w:r w:rsidRPr="002A7755">
        <w:t>库相当</w:t>
      </w:r>
      <w:proofErr w:type="gramEnd"/>
      <w:r w:rsidRPr="002A7755">
        <w:t>的性能，但编程效率（代码行数）提高了约 10倍</w:t>
      </w:r>
      <w:r>
        <w:rPr>
          <w:rFonts w:hint="eastAsia"/>
        </w:rPr>
        <w:t>.</w:t>
      </w:r>
    </w:p>
    <w:p w14:paraId="7A01108A" w14:textId="77777777" w:rsidR="00C852C1" w:rsidRDefault="002A7755" w:rsidP="00C852C1">
      <w:pPr>
        <w:ind w:firstLineChars="200" w:firstLine="440"/>
      </w:pPr>
      <w:r>
        <w:rPr>
          <w:rFonts w:hint="eastAsia"/>
        </w:rPr>
        <w:t>个人感觉这篇论文还是比较的晦涩难懂，可能也是第一次接触这种有关编译以及加速GPU训练大模型的相关内容，论文里面最后的由python代码到最终的编译成机器可执行的指令部分的细节还是不太懂。但最后也算是理解了本篇论文想要解决的问题以及提出的方法，还是非常值得去学习的。</w:t>
      </w:r>
    </w:p>
    <w:p w14:paraId="53A48C97" w14:textId="77777777" w:rsidR="00C852C1" w:rsidRDefault="00C852C1" w:rsidP="00C852C1">
      <w:pPr>
        <w:ind w:firstLineChars="200" w:firstLine="440"/>
        <w:rPr>
          <w:rFonts w:hint="eastAsia"/>
        </w:rPr>
      </w:pPr>
    </w:p>
    <w:p w14:paraId="55E5C5A5" w14:textId="16640D7D" w:rsidR="00C852C1" w:rsidRPr="00C852C1" w:rsidRDefault="00F10D31" w:rsidP="00C852C1">
      <w:pPr>
        <w:pStyle w:val="a9"/>
        <w:numPr>
          <w:ilvl w:val="0"/>
          <w:numId w:val="19"/>
        </w:numPr>
        <w:rPr>
          <w:rFonts w:hint="eastAsia"/>
          <w:color w:val="0563C1" w:themeColor="hyperlink"/>
          <w:sz w:val="28"/>
          <w:szCs w:val="32"/>
          <w:u w:val="single"/>
        </w:rPr>
      </w:pPr>
      <w:hyperlink r:id="rId10" w:history="1">
        <w:r w:rsidRPr="00C852C1">
          <w:rPr>
            <w:rStyle w:val="ae"/>
            <w:sz w:val="28"/>
            <w:szCs w:val="32"/>
          </w:rPr>
          <w:t>FedGPA: Federated Learning with Global-Personalized Collaboration for Edge Anomaly Detection</w:t>
        </w:r>
      </w:hyperlink>
    </w:p>
    <w:p w14:paraId="47FD7FA4" w14:textId="031275B3" w:rsidR="00C852C1" w:rsidRPr="00C852C1" w:rsidRDefault="00C852C1" w:rsidP="00F10D31">
      <w:pPr>
        <w:rPr>
          <w:b/>
          <w:bCs/>
        </w:rPr>
      </w:pPr>
      <w:r w:rsidRPr="00C852C1">
        <w:rPr>
          <w:rFonts w:hint="eastAsia"/>
          <w:b/>
          <w:bCs/>
        </w:rPr>
        <w:t>1.提出背景</w:t>
      </w:r>
    </w:p>
    <w:p w14:paraId="77CFC8FD" w14:textId="17663B4C" w:rsidR="00F10D31" w:rsidRPr="00F10D31" w:rsidRDefault="00F10D31" w:rsidP="00C852C1">
      <w:pPr>
        <w:ind w:firstLineChars="200" w:firstLine="440"/>
      </w:pPr>
      <w:r w:rsidRPr="00F10D31">
        <w:t>论文主要解决在</w:t>
      </w:r>
      <w:r w:rsidRPr="00F10D31">
        <w:rPr>
          <w:b/>
          <w:bCs/>
        </w:rPr>
        <w:t>边缘异常检测</w:t>
      </w:r>
      <w:r w:rsidRPr="00F10D31">
        <w:t xml:space="preserve">场景中应用联邦学习 (FL) 时遇到的两大挑战 </w:t>
      </w:r>
      <w:r w:rsidRPr="00F10D31">
        <w:rPr>
          <w:vertAlign w:val="superscript"/>
        </w:rPr>
        <w:t>1</w:t>
      </w:r>
      <w:r w:rsidRPr="00F10D31">
        <w:t>：</w:t>
      </w:r>
    </w:p>
    <w:p w14:paraId="795E830C" w14:textId="3FC1609A" w:rsidR="00F10D31" w:rsidRPr="00F10D31" w:rsidRDefault="00F10D31" w:rsidP="00F10D31">
      <w:pPr>
        <w:numPr>
          <w:ilvl w:val="0"/>
          <w:numId w:val="7"/>
        </w:numPr>
      </w:pPr>
      <w:r w:rsidRPr="00F10D31">
        <w:rPr>
          <w:b/>
          <w:bCs/>
        </w:rPr>
        <w:t>统计异质性:</w:t>
      </w:r>
      <w:r w:rsidRPr="00F10D31">
        <w:t xml:space="preserve"> 不同物联网 (IoT) 设备（客户端）上的流量数据是</w:t>
      </w:r>
      <w:r w:rsidRPr="00F10D31">
        <w:rPr>
          <w:b/>
          <w:bCs/>
        </w:rPr>
        <w:t>非独立同分布 (Non-IID)</w:t>
      </w:r>
      <w:r w:rsidRPr="00F10D31">
        <w:t xml:space="preserve"> 的。传统的联邦学习（如 </w:t>
      </w:r>
      <w:proofErr w:type="spellStart"/>
      <w:r w:rsidRPr="00F10D31">
        <w:t>FedAvg</w:t>
      </w:r>
      <w:proofErr w:type="spellEnd"/>
      <w:r w:rsidRPr="00F10D31">
        <w:t>）在这种情况下训练出的统一全局模型性能不佳。</w:t>
      </w:r>
    </w:p>
    <w:p w14:paraId="39D66E5A" w14:textId="66DCA2A1" w:rsidR="00F10D31" w:rsidRPr="00F10D31" w:rsidRDefault="00F10D31" w:rsidP="00F10D31">
      <w:pPr>
        <w:numPr>
          <w:ilvl w:val="0"/>
          <w:numId w:val="7"/>
        </w:numPr>
      </w:pPr>
      <w:r w:rsidRPr="00F10D31">
        <w:rPr>
          <w:b/>
          <w:bCs/>
        </w:rPr>
        <w:t>系统异质性:</w:t>
      </w:r>
      <w:r w:rsidRPr="00F10D31">
        <w:t xml:space="preserve"> 边缘环境中的物联网设备多种多样，它们的</w:t>
      </w:r>
      <w:r w:rsidRPr="00F10D31">
        <w:rPr>
          <w:b/>
          <w:bCs/>
        </w:rPr>
        <w:t>计算能力差异巨大</w:t>
      </w:r>
      <w:r w:rsidRPr="00F10D31">
        <w:t xml:space="preserve"> </w:t>
      </w:r>
      <w:r w:rsidRPr="00F10D31">
        <w:rPr>
          <w:vertAlign w:val="superscript"/>
        </w:rPr>
        <w:t>4</w:t>
      </w:r>
      <w:r w:rsidRPr="00F10D31">
        <w:t xml:space="preserve">。计算能力不足的设备训练速度慢，会严重拖慢整个联邦学习的聚合过程，影响训练效率 </w:t>
      </w:r>
      <w:r w:rsidRPr="00F10D31">
        <w:rPr>
          <w:vertAlign w:val="superscript"/>
        </w:rPr>
        <w:t>5</w:t>
      </w:r>
      <w:r w:rsidRPr="00F10D31">
        <w:t>。</w:t>
      </w:r>
    </w:p>
    <w:p w14:paraId="72544A6F" w14:textId="77777777" w:rsidR="00F10D31" w:rsidRPr="00F10D31" w:rsidRDefault="00F10D31" w:rsidP="00C852C1">
      <w:pPr>
        <w:ind w:firstLineChars="200" w:firstLine="440"/>
      </w:pPr>
      <w:r w:rsidRPr="00F10D31">
        <w:t>因此，目标是设计一个高效的个性化联邦学习 (</w:t>
      </w:r>
      <w:proofErr w:type="spellStart"/>
      <w:r w:rsidRPr="00F10D31">
        <w:t>pFL</w:t>
      </w:r>
      <w:proofErr w:type="spellEnd"/>
      <w:r w:rsidRPr="00F10D31">
        <w:t xml:space="preserve">) 框架，能同时应对这两种异质性，以提高异常检测的准确性和训练效率 </w:t>
      </w:r>
      <w:r w:rsidRPr="00F10D31">
        <w:rPr>
          <w:vertAlign w:val="superscript"/>
        </w:rPr>
        <w:t>6</w:t>
      </w:r>
      <w:r w:rsidRPr="00F10D31">
        <w:t>。</w:t>
      </w:r>
    </w:p>
    <w:p w14:paraId="26B87910" w14:textId="77777777" w:rsidR="00F10D31" w:rsidRPr="00F10D31" w:rsidRDefault="00F10D31" w:rsidP="00F10D31">
      <w:pPr>
        <w:rPr>
          <w:b/>
          <w:bCs/>
        </w:rPr>
      </w:pPr>
      <w:r w:rsidRPr="00F10D31">
        <w:rPr>
          <w:b/>
          <w:bCs/>
        </w:rPr>
        <w:t>2. 提出的方法</w:t>
      </w:r>
    </w:p>
    <w:p w14:paraId="0E0934A8" w14:textId="507F6C0C" w:rsidR="00F10D31" w:rsidRPr="00F10D31" w:rsidRDefault="00F10D31" w:rsidP="00C852C1">
      <w:pPr>
        <w:ind w:firstLineChars="200" w:firstLine="440"/>
      </w:pPr>
      <w:r w:rsidRPr="00F10D31">
        <w:t xml:space="preserve">论文提出了 </w:t>
      </w:r>
      <w:proofErr w:type="spellStart"/>
      <w:r w:rsidRPr="00F10D31">
        <w:rPr>
          <w:b/>
          <w:bCs/>
        </w:rPr>
        <w:t>FedGPA</w:t>
      </w:r>
      <w:proofErr w:type="spellEnd"/>
      <w:r w:rsidRPr="00F10D31">
        <w:t>，一个具有</w:t>
      </w:r>
      <w:r w:rsidRPr="00F10D31">
        <w:rPr>
          <w:b/>
          <w:bCs/>
        </w:rPr>
        <w:t>全局-个性化协作</w:t>
      </w:r>
      <w:r w:rsidRPr="00F10D31">
        <w:t>能力的联邦学习框架。</w:t>
      </w:r>
    </w:p>
    <w:p w14:paraId="1235BC58" w14:textId="256ECF7B" w:rsidR="00F10D31" w:rsidRDefault="00F10D31" w:rsidP="00C852C1">
      <w:pPr>
        <w:ind w:firstLineChars="200" w:firstLine="440"/>
      </w:pPr>
      <w:r w:rsidRPr="00F10D31">
        <w:t>该方法的核心思想是（如</w:t>
      </w:r>
      <w:r>
        <w:rPr>
          <w:rFonts w:hint="eastAsia"/>
        </w:rPr>
        <w:t>下图</w:t>
      </w:r>
      <w:r w:rsidRPr="00F10D31">
        <w:t>所示）：</w:t>
      </w:r>
    </w:p>
    <w:p w14:paraId="5EA93A76" w14:textId="0E7EEBB9" w:rsidR="00F10D31" w:rsidRPr="00F10D31" w:rsidRDefault="00F10D31" w:rsidP="00F10D31">
      <w:pPr>
        <w:rPr>
          <w:rFonts w:hint="eastAsia"/>
        </w:rPr>
      </w:pPr>
      <w:r>
        <w:rPr>
          <w:noProof/>
        </w:rPr>
        <w:drawing>
          <wp:inline distT="0" distB="0" distL="0" distR="0" wp14:anchorId="3625C098" wp14:editId="4BD59390">
            <wp:extent cx="6074245" cy="2787650"/>
            <wp:effectExtent l="0" t="0" r="3175" b="0"/>
            <wp:docPr id="1285492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92575" name="图片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79370" cy="2790002"/>
                    </a:xfrm>
                    <a:prstGeom prst="rect">
                      <a:avLst/>
                    </a:prstGeom>
                  </pic:spPr>
                </pic:pic>
              </a:graphicData>
            </a:graphic>
          </wp:inline>
        </w:drawing>
      </w:r>
    </w:p>
    <w:p w14:paraId="32872EFF" w14:textId="77777777" w:rsidR="00F10D31" w:rsidRPr="00F10D31" w:rsidRDefault="00F10D31" w:rsidP="00F10D31">
      <w:pPr>
        <w:numPr>
          <w:ilvl w:val="0"/>
          <w:numId w:val="8"/>
        </w:numPr>
      </w:pPr>
      <w:r w:rsidRPr="00F10D31">
        <w:t>在本地训练期间，模型不只学习一个统一的特征，而是将特征拆分为“全局”和“个性化”两部分。</w:t>
      </w:r>
    </w:p>
    <w:p w14:paraId="0722BADE" w14:textId="654A999A" w:rsidR="00F10D31" w:rsidRPr="00F10D31" w:rsidRDefault="00F10D31" w:rsidP="00F10D31">
      <w:pPr>
        <w:numPr>
          <w:ilvl w:val="0"/>
          <w:numId w:val="8"/>
        </w:numPr>
      </w:pPr>
      <w:r w:rsidRPr="00F10D31">
        <w:t>通过专门设计的模块和损失函数，分别指导这两部分特征的学习。</w:t>
      </w:r>
    </w:p>
    <w:p w14:paraId="5A677C09" w14:textId="46DF2540" w:rsidR="00F10D31" w:rsidRDefault="00F10D31" w:rsidP="00F10D31">
      <w:pPr>
        <w:numPr>
          <w:ilvl w:val="0"/>
          <w:numId w:val="8"/>
        </w:numPr>
      </w:pPr>
      <w:r w:rsidRPr="00F10D31">
        <w:t>引入一种动态的损失替换策略，以加速计算能力较差的客户端的训练。</w:t>
      </w:r>
    </w:p>
    <w:p w14:paraId="76CFB053" w14:textId="77777777" w:rsidR="00F10D31" w:rsidRPr="00F10D31" w:rsidRDefault="00F10D31" w:rsidP="00F10D31">
      <w:pPr>
        <w:ind w:left="720"/>
        <w:rPr>
          <w:rFonts w:hint="eastAsia"/>
        </w:rPr>
      </w:pPr>
    </w:p>
    <w:p w14:paraId="4F0E579C" w14:textId="77777777" w:rsidR="00F10D31" w:rsidRPr="00F10D31" w:rsidRDefault="00F10D31" w:rsidP="00F10D31">
      <w:pPr>
        <w:rPr>
          <w:b/>
          <w:bCs/>
        </w:rPr>
      </w:pPr>
      <w:r w:rsidRPr="00F10D31">
        <w:rPr>
          <w:b/>
          <w:bCs/>
        </w:rPr>
        <w:t>3. 相关创新点</w:t>
      </w:r>
    </w:p>
    <w:p w14:paraId="7443DC8D" w14:textId="5A549F7F" w:rsidR="00F10D31" w:rsidRPr="00F10D31" w:rsidRDefault="00F10D31" w:rsidP="00F10D31">
      <w:proofErr w:type="spellStart"/>
      <w:r w:rsidRPr="00F10D31">
        <w:t>FedGPA</w:t>
      </w:r>
      <w:proofErr w:type="spellEnd"/>
      <w:r w:rsidRPr="00F10D31">
        <w:t>框架主要包含以下三个创新设计：</w:t>
      </w:r>
    </w:p>
    <w:p w14:paraId="6A71081A" w14:textId="77777777" w:rsidR="00F10D31" w:rsidRPr="00F10D31" w:rsidRDefault="00F10D31" w:rsidP="00F10D31">
      <w:pPr>
        <w:numPr>
          <w:ilvl w:val="0"/>
          <w:numId w:val="9"/>
        </w:numPr>
      </w:pPr>
      <w:r w:rsidRPr="00F10D31">
        <w:t>特征转换 (</w:t>
      </w:r>
      <w:proofErr w:type="spellStart"/>
      <w:r w:rsidRPr="00F10D31">
        <w:t>FeT</w:t>
      </w:r>
      <w:proofErr w:type="spellEnd"/>
      <w:r w:rsidRPr="00F10D31">
        <w:t>) 模块:</w:t>
      </w:r>
    </w:p>
    <w:p w14:paraId="0D50C974" w14:textId="712A9FE0" w:rsidR="00F10D31" w:rsidRPr="00F10D31" w:rsidRDefault="00F10D31" w:rsidP="00C852C1">
      <w:pPr>
        <w:ind w:firstLineChars="200" w:firstLine="440"/>
        <w:rPr>
          <w:rFonts w:hint="eastAsia"/>
        </w:rPr>
      </w:pPr>
      <w:commentRangeStart w:id="0"/>
      <w:r w:rsidRPr="00F10D31">
        <w:t>设计了一个条件计算组件 (</w:t>
      </w:r>
      <w:proofErr w:type="spellStart"/>
      <w:r w:rsidRPr="00F10D31">
        <w:t>FeT</w:t>
      </w:r>
      <w:proofErr w:type="spellEnd"/>
      <w:r w:rsidRPr="00F10D31">
        <w:t>)，它能将原始的流量特征向量转换为两个独立的向量：一个全局特征向量</w:t>
      </w:r>
      <m:oMath>
        <m:sSubSup>
          <m:sSubSupPr>
            <m:ctrlPr>
              <w:rPr>
                <w:rFonts w:ascii="Cambria Math" w:hAnsi="Cambria Math"/>
                <w:i/>
              </w:rPr>
            </m:ctrlPr>
          </m:sSubSupPr>
          <m:e>
            <m:r>
              <w:rPr>
                <w:rFonts w:ascii="Cambria Math" w:hAnsi="Cambria Math"/>
              </w:rPr>
              <m:t xml:space="preserve"> </m:t>
            </m:r>
            <m:r>
              <w:rPr>
                <w:rFonts w:ascii="Cambria Math" w:hAnsi="Cambria Math" w:hint="eastAsia"/>
              </w:rPr>
              <m:t>X</m:t>
            </m:r>
          </m:e>
          <m:sub>
            <m:r>
              <w:rPr>
                <w:rFonts w:ascii="Cambria Math" w:hAnsi="Cambria Math"/>
              </w:rPr>
              <m:t>i</m:t>
            </m:r>
          </m:sub>
          <m:sup>
            <m:r>
              <w:rPr>
                <w:rFonts w:ascii="Cambria Math" w:hAnsi="Cambria Math"/>
              </w:rPr>
              <m:t>G</m:t>
            </m:r>
          </m:sup>
        </m:sSubSup>
        <m:r>
          <w:rPr>
            <w:rFonts w:ascii="Cambria Math" w:hAnsi="Cambria Math"/>
          </w:rPr>
          <m:t xml:space="preserve"> </m:t>
        </m:r>
      </m:oMath>
      <w:r w:rsidRPr="00F10D31">
        <w:t>和一个个性化特征向量</w:t>
      </w:r>
      <w:r w:rsidR="00D72D1D">
        <w:rPr>
          <w:rFonts w:hint="eastAsia"/>
        </w:rPr>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P</m:t>
            </m:r>
          </m:sup>
        </m:sSubSup>
      </m:oMath>
      <w:r w:rsidRPr="00F10D31">
        <w:t>。这使得模型可以同时学习所有客户端共享的通用知识（全局）和每个客户端特有的本地知识（个性化）。</w:t>
      </w:r>
      <w:commentRangeEnd w:id="0"/>
      <w:r w:rsidR="00D72D1D">
        <w:rPr>
          <w:rStyle w:val="af1"/>
        </w:rPr>
        <w:commentReference w:id="0"/>
      </w:r>
    </w:p>
    <w:p w14:paraId="6F4D3237" w14:textId="77777777" w:rsidR="00F10D31" w:rsidRPr="00F10D31" w:rsidRDefault="00F10D31" w:rsidP="00F10D31">
      <w:pPr>
        <w:numPr>
          <w:ilvl w:val="0"/>
          <w:numId w:val="9"/>
        </w:numPr>
      </w:pPr>
      <w:r w:rsidRPr="00F10D31">
        <w:rPr>
          <w:b/>
          <w:bCs/>
        </w:rPr>
        <w:t>全局-个性化协同学习机制:</w:t>
      </w:r>
    </w:p>
    <w:p w14:paraId="7F8C6854" w14:textId="1B4897F1" w:rsidR="00F10D31" w:rsidRPr="00F10D31" w:rsidRDefault="00F10D31" w:rsidP="00F10D31">
      <w:pPr>
        <w:numPr>
          <w:ilvl w:val="1"/>
          <w:numId w:val="9"/>
        </w:numPr>
      </w:pPr>
      <w:r w:rsidRPr="00F10D31">
        <w:rPr>
          <w:b/>
          <w:bCs/>
        </w:rPr>
        <w:t>全局学习：</w:t>
      </w:r>
      <w:r w:rsidRPr="00F10D31">
        <w:t>引入了一个</w:t>
      </w:r>
      <w:r w:rsidRPr="00F10D31">
        <w:rPr>
          <w:b/>
          <w:bCs/>
        </w:rPr>
        <w:t>全局类别嵌入 (GCE) 模块</w:t>
      </w:r>
      <w:r w:rsidRPr="00F10D31">
        <w:t>。通过</w:t>
      </w:r>
      <w:commentRangeStart w:id="1"/>
      <w:r w:rsidRPr="00F10D31">
        <w:rPr>
          <w:b/>
          <w:bCs/>
        </w:rPr>
        <w:t>对比损失 (contrast loss)</w:t>
      </w:r>
      <w:r w:rsidRPr="00F10D31">
        <w:t xml:space="preserve"> </w:t>
      </w:r>
      <w:commentRangeEnd w:id="1"/>
      <w:r w:rsidR="00D72D1D">
        <w:rPr>
          <w:rStyle w:val="af1"/>
        </w:rPr>
        <w:commentReference w:id="1"/>
      </w:r>
      <w:r w:rsidRPr="00F10D31">
        <w:t>和</w:t>
      </w:r>
      <w:commentRangeStart w:id="2"/>
      <w:r w:rsidRPr="00F10D31">
        <w:rPr>
          <w:b/>
          <w:bCs/>
        </w:rPr>
        <w:t>幅度损失 (magnitude loss)</w:t>
      </w:r>
      <w:commentRangeEnd w:id="2"/>
      <w:r w:rsidR="00506F4D">
        <w:rPr>
          <w:rStyle w:val="af1"/>
        </w:rPr>
        <w:commentReference w:id="2"/>
      </w:r>
      <w:r w:rsidRPr="00F10D31">
        <w:t>，引导全局特征向量学习全局共享的特征信息。</w:t>
      </w:r>
    </w:p>
    <w:p w14:paraId="488B6490" w14:textId="06197FCD" w:rsidR="00F10D31" w:rsidRPr="00F10D31" w:rsidRDefault="00F10D31" w:rsidP="00F10D31">
      <w:pPr>
        <w:numPr>
          <w:ilvl w:val="1"/>
          <w:numId w:val="9"/>
        </w:numPr>
      </w:pPr>
      <w:r w:rsidRPr="00F10D31">
        <w:rPr>
          <w:b/>
          <w:bCs/>
        </w:rPr>
        <w:t>个性化学习：</w:t>
      </w:r>
      <w:r w:rsidRPr="00F10D31">
        <w:t>使用标准的</w:t>
      </w:r>
      <w:r w:rsidRPr="00F10D31">
        <w:rPr>
          <w:b/>
          <w:bCs/>
        </w:rPr>
        <w:t>交叉</w:t>
      </w:r>
      <w:proofErr w:type="gramStart"/>
      <w:r w:rsidRPr="00F10D31">
        <w:rPr>
          <w:b/>
          <w:bCs/>
        </w:rPr>
        <w:t>熵</w:t>
      </w:r>
      <w:proofErr w:type="gramEnd"/>
      <w:r w:rsidRPr="00F10D31">
        <w:rPr>
          <w:b/>
          <w:bCs/>
        </w:rPr>
        <w:t>损失</w:t>
      </w:r>
      <w:commentRangeStart w:id="3"/>
      <w:r w:rsidRPr="00F10D31">
        <w:rPr>
          <w:b/>
          <w:bCs/>
        </w:rPr>
        <w:t xml:space="preserve"> (cross-entropy loss)</w:t>
      </w:r>
      <w:r w:rsidRPr="00F10D31">
        <w:t xml:space="preserve"> </w:t>
      </w:r>
      <w:commentRangeEnd w:id="3"/>
      <w:r w:rsidR="00506F4D">
        <w:rPr>
          <w:rStyle w:val="af1"/>
        </w:rPr>
        <w:commentReference w:id="3"/>
      </w:r>
      <w:r w:rsidRPr="00F10D31">
        <w:t>来引导个性化特征向量</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P</m:t>
            </m:r>
          </m:sup>
        </m:sSubSup>
      </m:oMath>
      <w:r w:rsidRPr="00F10D31">
        <w:t>学习本地数据的特定特征。</w:t>
      </w:r>
    </w:p>
    <w:p w14:paraId="269DC081" w14:textId="77777777" w:rsidR="00F10D31" w:rsidRPr="00F10D31" w:rsidRDefault="00F10D31" w:rsidP="00F10D31">
      <w:pPr>
        <w:numPr>
          <w:ilvl w:val="0"/>
          <w:numId w:val="9"/>
        </w:numPr>
      </w:pPr>
      <w:commentRangeStart w:id="4"/>
      <w:r w:rsidRPr="00F10D31">
        <w:t>损失替换策略 (Loss Replacement Strategy):</w:t>
      </w:r>
      <w:commentRangeEnd w:id="4"/>
      <w:r w:rsidR="00691C2C">
        <w:rPr>
          <w:rStyle w:val="af1"/>
        </w:rPr>
        <w:commentReference w:id="4"/>
      </w:r>
    </w:p>
    <w:p w14:paraId="0CEEE6B0" w14:textId="040DFB8F" w:rsidR="00F10D31" w:rsidRDefault="00F10D31" w:rsidP="00C852C1">
      <w:pPr>
        <w:ind w:firstLineChars="200" w:firstLine="440"/>
      </w:pPr>
      <w:r w:rsidRPr="00F10D31">
        <w:t>这是为解决系统异质性和加速训练而设计的核心创新。该策略通过计算“总体损失”（包含所有损失）和“交叉熵损失”（仅个性化损失）之间的更新梯度余弦相似度。如果相似度高于某个阈值，意味着更简单的交叉</w:t>
      </w:r>
      <w:proofErr w:type="gramStart"/>
      <w:r w:rsidRPr="00F10D31">
        <w:t>熵</w:t>
      </w:r>
      <w:proofErr w:type="gramEnd"/>
      <w:r w:rsidRPr="00F10D31">
        <w:t xml:space="preserve">损失已经可以很好地指导模型更新，此时 </w:t>
      </w:r>
      <w:proofErr w:type="spellStart"/>
      <w:r w:rsidRPr="00F10D31">
        <w:t>FedGPA</w:t>
      </w:r>
      <w:proofErr w:type="spellEnd"/>
      <w:r w:rsidRPr="00F10D31">
        <w:t xml:space="preserve"> 会用简单的交叉</w:t>
      </w:r>
      <w:proofErr w:type="gramStart"/>
      <w:r w:rsidRPr="00F10D31">
        <w:t>熵</w:t>
      </w:r>
      <w:proofErr w:type="gramEnd"/>
      <w:r w:rsidRPr="00F10D31">
        <w:t>损失替换</w:t>
      </w:r>
      <w:proofErr w:type="gramStart"/>
      <w:r w:rsidRPr="00F10D31">
        <w:t>掉复杂</w:t>
      </w:r>
      <w:proofErr w:type="gramEnd"/>
      <w:r w:rsidRPr="00F10D31">
        <w:t>的总体损失。</w:t>
      </w:r>
      <w:proofErr w:type="gramStart"/>
      <w:r w:rsidRPr="00F10D31">
        <w:t>这显著</w:t>
      </w:r>
      <w:proofErr w:type="gramEnd"/>
      <w:r w:rsidRPr="00F10D31">
        <w:t>降低了计算量，使得计算能力较差的设备也能快速完成本地训练，从而提高整体的聚合效率。</w:t>
      </w:r>
    </w:p>
    <w:p w14:paraId="66C96A3D" w14:textId="77777777" w:rsidR="00C852C1" w:rsidRPr="00F10D31" w:rsidRDefault="00C852C1" w:rsidP="00F10D31">
      <w:pPr>
        <w:rPr>
          <w:rFonts w:hint="eastAsia"/>
        </w:rPr>
      </w:pPr>
    </w:p>
    <w:p w14:paraId="4F415C2B" w14:textId="59E8A578" w:rsidR="00691C2C" w:rsidRPr="00C852C1" w:rsidRDefault="00691C2C" w:rsidP="00C852C1">
      <w:pPr>
        <w:pStyle w:val="a9"/>
        <w:numPr>
          <w:ilvl w:val="0"/>
          <w:numId w:val="19"/>
        </w:numPr>
        <w:rPr>
          <w:b/>
          <w:bCs/>
        </w:rPr>
      </w:pPr>
      <w:hyperlink r:id="rId16" w:history="1">
        <w:r w:rsidRPr="00C852C1">
          <w:rPr>
            <w:rStyle w:val="ae"/>
            <w:b/>
            <w:bCs/>
          </w:rPr>
          <w:t>LCO-AGQ: A Lightweight Client-Oriented Adaptive Gradient Quantization Algorithm for Federated Learning</w:t>
        </w:r>
      </w:hyperlink>
    </w:p>
    <w:p w14:paraId="662DFABD" w14:textId="77777777" w:rsidR="00A553A6" w:rsidRPr="00A553A6" w:rsidRDefault="00A553A6" w:rsidP="00A553A6">
      <w:pPr>
        <w:rPr>
          <w:b/>
          <w:bCs/>
        </w:rPr>
      </w:pPr>
      <w:r w:rsidRPr="00A553A6">
        <w:rPr>
          <w:b/>
          <w:bCs/>
        </w:rPr>
        <w:t>1. 提出背景</w:t>
      </w:r>
    </w:p>
    <w:p w14:paraId="0CF90432" w14:textId="6A5B52BB" w:rsidR="00A553A6" w:rsidRPr="00A553A6" w:rsidRDefault="00A553A6" w:rsidP="00C852C1">
      <w:pPr>
        <w:ind w:firstLineChars="200" w:firstLine="440"/>
      </w:pPr>
      <w:r w:rsidRPr="00A553A6">
        <w:t>联邦学习 (Federated Learning, FL) 允许客户端在本地训练模型，只上传模型更新（梯度）到服务器进行聚合，从而保护用户隐私。然而，随着模型日益复杂，梯度维度不断增加，这导致了巨大的通信开销。</w:t>
      </w:r>
    </w:p>
    <w:p w14:paraId="4822BC58" w14:textId="60239849" w:rsidR="00A553A6" w:rsidRPr="00A553A6" w:rsidRDefault="00A553A6" w:rsidP="00C852C1">
      <w:pPr>
        <w:ind w:firstLineChars="200" w:firstLine="440"/>
      </w:pPr>
      <w:r w:rsidRPr="00A553A6">
        <w:rPr>
          <w:b/>
          <w:bCs/>
        </w:rPr>
        <w:t>量化 (Quantization)</w:t>
      </w:r>
      <w:r w:rsidRPr="00A553A6">
        <w:t xml:space="preserve"> 是一种常用的梯度压缩技术，通过降低梯度的精度（如从32位浮点数降至8位或4位）来减少通信成本。</w:t>
      </w:r>
    </w:p>
    <w:p w14:paraId="77A04F10" w14:textId="77777777" w:rsidR="00A553A6" w:rsidRPr="00A553A6" w:rsidRDefault="00A553A6" w:rsidP="00C852C1">
      <w:pPr>
        <w:ind w:firstLineChars="200" w:firstLine="440"/>
      </w:pPr>
      <w:r w:rsidRPr="00A553A6">
        <w:t>论文指出了现有方法的问题：</w:t>
      </w:r>
    </w:p>
    <w:p w14:paraId="5C060382" w14:textId="39FB0601" w:rsidR="00A553A6" w:rsidRPr="00A553A6" w:rsidRDefault="00A553A6" w:rsidP="00A553A6">
      <w:pPr>
        <w:numPr>
          <w:ilvl w:val="0"/>
          <w:numId w:val="10"/>
        </w:numPr>
      </w:pPr>
      <w:r w:rsidRPr="00A553A6">
        <w:rPr>
          <w:b/>
          <w:bCs/>
        </w:rPr>
        <w:t>统一量化：</w:t>
      </w:r>
      <w:r w:rsidRPr="00A553A6">
        <w:t>大多数方法对所有客户端使用固定的、统一的量化级别。这忽略了客户端的异质性（如不同的数据质量、通信和计算能力），可能导致模型精度和收敛速度下降。</w:t>
      </w:r>
    </w:p>
    <w:p w14:paraId="6DC1853D" w14:textId="2C739F2E" w:rsidR="00A553A6" w:rsidRPr="00A553A6" w:rsidRDefault="00A553A6" w:rsidP="00A553A6">
      <w:pPr>
        <w:numPr>
          <w:ilvl w:val="0"/>
          <w:numId w:val="10"/>
        </w:numPr>
      </w:pPr>
      <w:r w:rsidRPr="00A553A6">
        <w:rPr>
          <w:b/>
          <w:bCs/>
        </w:rPr>
        <w:t>现有自适应方法的缺陷：</w:t>
      </w:r>
      <w:r w:rsidRPr="00A553A6">
        <w:t xml:space="preserve"> 虽然已有研究（如 </w:t>
      </w:r>
      <w:proofErr w:type="spellStart"/>
      <w:r w:rsidRPr="00A553A6">
        <w:t>AdaGQ</w:t>
      </w:r>
      <w:proofErr w:type="spellEnd"/>
      <w:r w:rsidRPr="00A553A6">
        <w:t>）</w:t>
      </w:r>
      <w:proofErr w:type="gramStart"/>
      <w:r w:rsidRPr="00A553A6">
        <w:t>尝试自</w:t>
      </w:r>
      <w:proofErr w:type="gramEnd"/>
      <w:r w:rsidRPr="00A553A6">
        <w:t>适应调整量化级别，但它们存在新的问题：</w:t>
      </w:r>
    </w:p>
    <w:p w14:paraId="34216E65" w14:textId="37837C8C" w:rsidR="00A553A6" w:rsidRPr="00A553A6" w:rsidRDefault="00A553A6" w:rsidP="00A553A6">
      <w:pPr>
        <w:numPr>
          <w:ilvl w:val="1"/>
          <w:numId w:val="10"/>
        </w:numPr>
      </w:pPr>
      <w:r w:rsidRPr="00A553A6">
        <w:t>它们通常会引入显著的额外计算成本。例如，</w:t>
      </w:r>
      <w:proofErr w:type="spellStart"/>
      <w:r w:rsidRPr="00A553A6">
        <w:t>AdaGQ</w:t>
      </w:r>
      <w:proofErr w:type="spellEnd"/>
      <w:r w:rsidRPr="00A553A6">
        <w:t xml:space="preserve"> 需要两次前向传播，计算成本增加了</w:t>
      </w:r>
      <w:r>
        <w:rPr>
          <w:rFonts w:hint="eastAsia"/>
        </w:rPr>
        <w:t>四分之三</w:t>
      </w:r>
      <w:r w:rsidRPr="00A553A6">
        <w:t>。</w:t>
      </w:r>
    </w:p>
    <w:p w14:paraId="0194EEA3" w14:textId="4A4DE5DE" w:rsidR="00A553A6" w:rsidRPr="00A553A6" w:rsidRDefault="00A553A6" w:rsidP="00A553A6">
      <w:pPr>
        <w:numPr>
          <w:ilvl w:val="1"/>
          <w:numId w:val="10"/>
        </w:numPr>
      </w:pPr>
      <w:r w:rsidRPr="00A553A6">
        <w:t>它们在调整策略时，往往只考虑了通信能力和训练进度，而忽略了客户端数据质量的差异。</w:t>
      </w:r>
    </w:p>
    <w:p w14:paraId="45524288" w14:textId="77777777" w:rsidR="00A553A6" w:rsidRPr="00A553A6" w:rsidRDefault="00A553A6" w:rsidP="00A553A6">
      <w:pPr>
        <w:rPr>
          <w:b/>
          <w:bCs/>
        </w:rPr>
      </w:pPr>
      <w:r w:rsidRPr="00A553A6">
        <w:rPr>
          <w:b/>
          <w:bCs/>
        </w:rPr>
        <w:t>2. 方法 (LCO-AGQ)</w:t>
      </w:r>
    </w:p>
    <w:p w14:paraId="7FCF274E" w14:textId="77777777" w:rsidR="00A553A6" w:rsidRPr="00A553A6" w:rsidRDefault="00A553A6" w:rsidP="00C852C1">
      <w:pPr>
        <w:ind w:firstLineChars="200" w:firstLine="440"/>
      </w:pPr>
      <w:r w:rsidRPr="00A553A6">
        <w:t xml:space="preserve">LCO-AGQ (Lightweight Client-Oriented Adaptive Gradient Quantization) 是一种轻量级的自适应梯度量化算法 </w:t>
      </w:r>
      <w:r w:rsidRPr="00A553A6">
        <w:rPr>
          <w:vertAlign w:val="superscript"/>
        </w:rPr>
        <w:t>13</w:t>
      </w:r>
      <w:r w:rsidRPr="00A553A6">
        <w:t>。其核心思想是让每个客户端根据自身的</w:t>
      </w:r>
      <w:r w:rsidRPr="00A553A6">
        <w:rPr>
          <w:b/>
          <w:bCs/>
        </w:rPr>
        <w:t>数据质量</w:t>
      </w:r>
      <w:r w:rsidRPr="00A553A6">
        <w:t>和</w:t>
      </w:r>
      <w:r w:rsidRPr="00A553A6">
        <w:rPr>
          <w:b/>
          <w:bCs/>
        </w:rPr>
        <w:t>通信能力</w:t>
      </w:r>
      <w:r w:rsidRPr="00A553A6">
        <w:t xml:space="preserve">，自适应地选择量化级别 </w:t>
      </w:r>
      <w:r w:rsidRPr="00A553A6">
        <w:rPr>
          <w:vertAlign w:val="superscript"/>
        </w:rPr>
        <w:t>14</w:t>
      </w:r>
      <w:r w:rsidRPr="00A553A6">
        <w:t>。</w:t>
      </w:r>
    </w:p>
    <w:p w14:paraId="4923DB9D" w14:textId="52B74279" w:rsidR="00A553A6" w:rsidRPr="00A553A6" w:rsidRDefault="00A553A6" w:rsidP="00C852C1">
      <w:pPr>
        <w:ind w:firstLineChars="200" w:firstLine="440"/>
      </w:pPr>
      <w:r w:rsidRPr="00A553A6">
        <w:t>该方法的主要挑战在于如何</w:t>
      </w:r>
      <w:r w:rsidRPr="00A553A6">
        <w:rPr>
          <w:i/>
          <w:iCs/>
        </w:rPr>
        <w:t>轻量级</w:t>
      </w:r>
      <w:r w:rsidRPr="00A553A6">
        <w:t>地估算不同量化级别对训练收敛的影响。LCO-AGQ 的实现方式如下：</w:t>
      </w:r>
    </w:p>
    <w:p w14:paraId="7FACEEAC" w14:textId="77777777" w:rsidR="00A553A6" w:rsidRPr="00A553A6" w:rsidRDefault="00A553A6" w:rsidP="00A553A6">
      <w:r w:rsidRPr="00A553A6">
        <w:rPr>
          <w:b/>
          <w:bCs/>
        </w:rPr>
        <w:t>A. 关键观察与影响函数 (Impact Function)</w:t>
      </w:r>
    </w:p>
    <w:p w14:paraId="284D381E" w14:textId="0137E87E" w:rsidR="00A553A6" w:rsidRDefault="00A553A6" w:rsidP="00A553A6">
      <w:pPr>
        <w:numPr>
          <w:ilvl w:val="0"/>
          <w:numId w:val="11"/>
        </w:numPr>
      </w:pPr>
      <w:commentRangeStart w:id="5"/>
      <w:r w:rsidRPr="00A553A6">
        <w:rPr>
          <w:b/>
          <w:bCs/>
        </w:rPr>
        <w:t>核心观察：</w:t>
      </w:r>
      <w:r w:rsidRPr="00A553A6">
        <w:t xml:space="preserve"> 论文通过实验发现，不同量化级别对客户端训练收益（即损失函数值的降低）的影响模式，在</w:t>
      </w:r>
      <w:r w:rsidRPr="00A553A6">
        <w:rPr>
          <w:b/>
          <w:bCs/>
        </w:rPr>
        <w:t>不同客户端之间</w:t>
      </w:r>
      <w:r w:rsidRPr="00A553A6">
        <w:t>是</w:t>
      </w:r>
      <w:r w:rsidRPr="00A553A6">
        <w:rPr>
          <w:b/>
          <w:bCs/>
        </w:rPr>
        <w:t>基本一致</w:t>
      </w:r>
      <w:r w:rsidRPr="00A553A6">
        <w:t>的，并且在</w:t>
      </w:r>
      <w:r w:rsidRPr="00A553A6">
        <w:rPr>
          <w:b/>
          <w:bCs/>
        </w:rPr>
        <w:t>相邻的训练轮次</w:t>
      </w:r>
      <w:r w:rsidRPr="00A553A6">
        <w:t>之间</w:t>
      </w:r>
      <w:r w:rsidRPr="00A553A6">
        <w:rPr>
          <w:b/>
          <w:bCs/>
        </w:rPr>
        <w:t>几乎是相同</w:t>
      </w:r>
      <w:r w:rsidRPr="00A553A6">
        <w:t>的。</w:t>
      </w:r>
      <w:commentRangeEnd w:id="5"/>
      <w:r w:rsidR="003D59A1">
        <w:rPr>
          <w:rStyle w:val="af1"/>
        </w:rPr>
        <w:commentReference w:id="5"/>
      </w:r>
    </w:p>
    <w:p w14:paraId="3E0994C2" w14:textId="434543E7" w:rsidR="003D59A1" w:rsidRPr="00A553A6" w:rsidRDefault="003D59A1" w:rsidP="003D59A1">
      <w:pPr>
        <w:ind w:left="720"/>
        <w:jc w:val="center"/>
      </w:pPr>
      <w:r>
        <w:rPr>
          <w:noProof/>
        </w:rPr>
        <w:drawing>
          <wp:inline distT="0" distB="0" distL="0" distR="0" wp14:anchorId="534ACF48" wp14:editId="1AE6A49F">
            <wp:extent cx="4270100" cy="3664152"/>
            <wp:effectExtent l="0" t="0" r="0" b="0"/>
            <wp:docPr id="1735378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78174" name=""/>
                    <pic:cNvPicPr/>
                  </pic:nvPicPr>
                  <pic:blipFill>
                    <a:blip r:embed="rId17"/>
                    <a:stretch>
                      <a:fillRect/>
                    </a:stretch>
                  </pic:blipFill>
                  <pic:spPr>
                    <a:xfrm>
                      <a:off x="0" y="0"/>
                      <a:ext cx="4272673" cy="3666360"/>
                    </a:xfrm>
                    <a:prstGeom prst="rect">
                      <a:avLst/>
                    </a:prstGeom>
                  </pic:spPr>
                </pic:pic>
              </a:graphicData>
            </a:graphic>
          </wp:inline>
        </w:drawing>
      </w:r>
    </w:p>
    <w:p w14:paraId="356EA5A6" w14:textId="60467064" w:rsidR="00A553A6" w:rsidRPr="00A553A6" w:rsidRDefault="00A553A6" w:rsidP="00A553A6">
      <w:pPr>
        <w:numPr>
          <w:ilvl w:val="0"/>
          <w:numId w:val="11"/>
        </w:numPr>
      </w:pPr>
      <w:r w:rsidRPr="00A553A6">
        <w:rPr>
          <w:b/>
          <w:bCs/>
        </w:rPr>
        <w:t>轻量级估计：</w:t>
      </w:r>
      <w:r w:rsidRPr="00A553A6">
        <w:t xml:space="preserve"> 基于这一观察，LCO-AGQ 无需在每一轮都为每个客户端计算不同量化级别的影响。相反，它利用上一轮的训练结果来估计当前轮的影响。</w:t>
      </w:r>
    </w:p>
    <w:p w14:paraId="70D5A778" w14:textId="0C03E6FE" w:rsidR="00A553A6" w:rsidRPr="00A553A6" w:rsidRDefault="00A553A6" w:rsidP="00A553A6">
      <w:pPr>
        <w:numPr>
          <w:ilvl w:val="0"/>
          <w:numId w:val="11"/>
        </w:numPr>
      </w:pPr>
      <w:r w:rsidRPr="00A553A6">
        <w:rPr>
          <w:b/>
          <w:bCs/>
        </w:rPr>
        <w:t>函数拟合：</w:t>
      </w:r>
      <w:r w:rsidRPr="00A553A6">
        <w:t xml:space="preserve"> </w:t>
      </w:r>
      <w:commentRangeStart w:id="6"/>
      <w:r w:rsidRPr="00A553A6">
        <w:t>论文引入了一个</w:t>
      </w:r>
      <w:r w:rsidRPr="00A553A6">
        <w:rPr>
          <w:b/>
          <w:bCs/>
        </w:rPr>
        <w:t>双曲正切函数</w:t>
      </w:r>
      <w:r w:rsidRPr="00A553A6">
        <w:t>来拟合“量化级别”与“训练影响（损失变化率）”之间的关系。这个影响函数可以通过上一轮的数据拟合得出，计算开销很小。</w:t>
      </w:r>
      <w:commentRangeEnd w:id="6"/>
      <w:r w:rsidR="00052ADD">
        <w:rPr>
          <w:rStyle w:val="af1"/>
        </w:rPr>
        <w:commentReference w:id="6"/>
      </w:r>
    </w:p>
    <w:p w14:paraId="4F86A273" w14:textId="77777777" w:rsidR="00A553A6" w:rsidRPr="00A553A6" w:rsidRDefault="00A553A6" w:rsidP="00A553A6">
      <w:r w:rsidRPr="00A553A6">
        <w:rPr>
          <w:b/>
          <w:bCs/>
        </w:rPr>
        <w:t>B. 客户端质量估计</w:t>
      </w:r>
    </w:p>
    <w:p w14:paraId="7B12F95B" w14:textId="6D2D3B74" w:rsidR="00A553A6" w:rsidRPr="00A553A6" w:rsidRDefault="00A553A6" w:rsidP="00C852C1">
      <w:pPr>
        <w:ind w:firstLineChars="200" w:firstLine="440"/>
      </w:pPr>
      <w:r w:rsidRPr="00A553A6">
        <w:t>LCO-AGQ 重新定义了考虑量化影响的客户端质量</w:t>
      </w:r>
      <m:oMath>
        <m:sSubSup>
          <m:sSubSupPr>
            <m:ctrlPr>
              <w:rPr>
                <w:rFonts w:ascii="Cambria Math" w:hAnsi="Cambria Math"/>
                <w:i/>
              </w:rPr>
            </m:ctrlPr>
          </m:sSubSupPr>
          <m:e>
            <m:r>
              <w:rPr>
                <w:rFonts w:ascii="Cambria Math" w:hAnsi="Cambria Math" w:hint="eastAsia"/>
              </w:rPr>
              <m:t>q</m:t>
            </m:r>
          </m:e>
          <m:sub>
            <m:r>
              <w:rPr>
                <w:rFonts w:ascii="Cambria Math" w:hAnsi="Cambria Math"/>
              </w:rPr>
              <m:t>i,l(i)</m:t>
            </m:r>
          </m:sub>
          <m:sup>
            <m:r>
              <w:rPr>
                <w:rFonts w:ascii="Cambria Math" w:hAnsi="Cambria Math"/>
              </w:rPr>
              <m:t>t</m:t>
            </m:r>
          </m:sup>
        </m:sSubSup>
      </m:oMath>
      <w:r w:rsidRPr="00A553A6">
        <w:t>。</w:t>
      </w:r>
    </w:p>
    <w:p w14:paraId="21F50143" w14:textId="6286B9D5" w:rsidR="00A553A6" w:rsidRPr="00A553A6" w:rsidRDefault="00A553A6" w:rsidP="00A553A6">
      <w:pPr>
        <w:numPr>
          <w:ilvl w:val="0"/>
          <w:numId w:val="12"/>
        </w:numPr>
      </w:pPr>
      <w:r w:rsidRPr="00A553A6">
        <w:t>在不考虑量化时，</w:t>
      </w:r>
      <w:commentRangeStart w:id="7"/>
      <w:r w:rsidRPr="00A553A6">
        <w:t>客户端质量通常由其数据量</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A553A6">
        <w:t xml:space="preserve">和当前模型的损失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m:t>
        </m:r>
      </m:oMath>
      <w:r w:rsidRPr="00A553A6">
        <w:t xml:space="preserve"> 来估计，即</w:t>
      </w:r>
      <m:oMath>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hint="eastAsia"/>
              </w:rPr>
              <m:t>W</m:t>
            </m:r>
          </m:e>
          <m:sup>
            <m:r>
              <w:rPr>
                <w:rFonts w:ascii="Cambria Math" w:hAnsi="Cambria Math"/>
              </w:rPr>
              <m:t>t</m:t>
            </m:r>
          </m:sup>
        </m:sSup>
        <m:r>
          <w:rPr>
            <w:rFonts w:ascii="Cambria Math" w:hAnsi="Cambria Math"/>
          </w:rPr>
          <m:t>)</m:t>
        </m:r>
      </m:oMath>
      <w:r w:rsidRPr="00A553A6">
        <w:t>。</w:t>
      </w:r>
      <w:commentRangeEnd w:id="7"/>
      <w:r w:rsidR="00411AF6">
        <w:rPr>
          <w:rStyle w:val="af1"/>
        </w:rPr>
        <w:commentReference w:id="7"/>
      </w:r>
    </w:p>
    <w:p w14:paraId="4F3E1BB7" w14:textId="45B91192" w:rsidR="00A553A6" w:rsidRPr="00A553A6" w:rsidRDefault="00A553A6" w:rsidP="00A553A6">
      <w:pPr>
        <w:numPr>
          <w:ilvl w:val="0"/>
          <w:numId w:val="12"/>
        </w:numPr>
      </w:pPr>
      <w:r w:rsidRPr="00A553A6">
        <w:t>LCO-AGQ 将其修正为</w:t>
      </w:r>
      <w:r w:rsidR="00411AF6">
        <w:rPr>
          <w:rFonts w:hint="eastAsia"/>
        </w:rPr>
        <w:t>：</w:t>
      </w:r>
      <w:commentRangeStart w:id="8"/>
      <m:oMath>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hint="eastAsia"/>
              </w:rPr>
              <m:t>W</m:t>
            </m:r>
          </m:e>
          <m:sup>
            <m:r>
              <w:rPr>
                <w:rFonts w:ascii="Cambria Math" w:hAnsi="Cambria Math"/>
              </w:rPr>
              <m:t>t</m:t>
            </m:r>
          </m:sup>
        </m:sSup>
        <m:r>
          <w:rPr>
            <w:rFonts w:ascii="Cambria Math" w:hAnsi="Cambria Math"/>
          </w:rPr>
          <m:t>)</m:t>
        </m:r>
        <m:r>
          <w:rPr>
            <w:rFonts w:ascii="Cambria Math" w:hAnsi="Cambria Math"/>
          </w:rPr>
          <m:t>×Impact(t-1,l</m:t>
        </m:r>
        <m:d>
          <m:dPr>
            <m:ctrlPr>
              <w:rPr>
                <w:rFonts w:ascii="Cambria Math" w:hAnsi="Cambria Math"/>
                <w:i/>
              </w:rPr>
            </m:ctrlPr>
          </m:dPr>
          <m:e>
            <m:r>
              <w:rPr>
                <w:rFonts w:ascii="Cambria Math" w:hAnsi="Cambria Math"/>
              </w:rPr>
              <m:t>i</m:t>
            </m:r>
          </m:e>
        </m:d>
        <m:r>
          <w:rPr>
            <w:rFonts w:ascii="Cambria Math" w:hAnsi="Cambria Math"/>
          </w:rPr>
          <m:t>)</m:t>
        </m:r>
      </m:oMath>
      <w:r w:rsidRPr="00A553A6">
        <w:t>。</w:t>
      </w:r>
      <w:commentRangeEnd w:id="8"/>
      <w:r w:rsidR="003D59A1">
        <w:rPr>
          <w:rStyle w:val="af1"/>
        </w:rPr>
        <w:commentReference w:id="8"/>
      </w:r>
    </w:p>
    <w:p w14:paraId="1CBA140C" w14:textId="1D78F6C1" w:rsidR="00A553A6" w:rsidRPr="00A553A6" w:rsidRDefault="00A553A6" w:rsidP="00A553A6">
      <w:pPr>
        <w:numPr>
          <w:ilvl w:val="0"/>
          <w:numId w:val="12"/>
        </w:numPr>
      </w:pPr>
      <w:r w:rsidRPr="00A553A6">
        <w:t>这个公式的含义是：客户端的质量等于其“基础质量”（数据量</w:t>
      </w:r>
      <w:r w:rsidR="00411AF6">
        <w:rPr>
          <w:rFonts w:hint="eastAsia"/>
        </w:rPr>
        <w:t>x</w:t>
      </w:r>
      <w:r w:rsidRPr="00A553A6">
        <w:t>损失）乘以一个由轻量级函数估算出的“量化折扣因子”。</w:t>
      </w:r>
    </w:p>
    <w:p w14:paraId="299FDEA9" w14:textId="77777777" w:rsidR="00A553A6" w:rsidRPr="00A553A6" w:rsidRDefault="00A553A6" w:rsidP="00A553A6">
      <w:r w:rsidRPr="00A553A6">
        <w:rPr>
          <w:b/>
          <w:bCs/>
        </w:rPr>
        <w:t>C. 客户端选择策略</w:t>
      </w:r>
    </w:p>
    <w:p w14:paraId="752DCC1D" w14:textId="0392BD01" w:rsidR="00A553A6" w:rsidRPr="00A553A6" w:rsidRDefault="00A553A6" w:rsidP="00C852C1">
      <w:pPr>
        <w:ind w:firstLineChars="200" w:firstLine="440"/>
      </w:pPr>
      <w:r w:rsidRPr="00A553A6">
        <w:t>服务器的目标是在有限的资源（如总带宽）下，选择一组客户端及其对应的量化级别，以</w:t>
      </w:r>
      <w:proofErr w:type="gramStart"/>
      <w:r w:rsidRPr="00A553A6">
        <w:t>最大化总</w:t>
      </w:r>
      <w:proofErr w:type="gramEnd"/>
      <w:r w:rsidRPr="00A553A6">
        <w:t>的客户端质量和带宽利用率。</w:t>
      </w:r>
    </w:p>
    <w:p w14:paraId="78FC62C0" w14:textId="273AA757" w:rsidR="00A553A6" w:rsidRPr="00A553A6" w:rsidRDefault="00A553A6" w:rsidP="00A553A6">
      <w:pPr>
        <w:numPr>
          <w:ilvl w:val="0"/>
          <w:numId w:val="13"/>
        </w:numPr>
      </w:pPr>
      <w:r w:rsidRPr="00A553A6">
        <w:t>分组背包问题 (GKP)：这个问题被建模为一个分组背包问题。每个客户端是一个“分组”，不同的量化级别是组内的“物品”。</w:t>
      </w:r>
    </w:p>
    <w:p w14:paraId="05656773" w14:textId="5A453A43" w:rsidR="00A553A6" w:rsidRDefault="00A553A6" w:rsidP="00A553A6">
      <w:pPr>
        <w:numPr>
          <w:ilvl w:val="0"/>
          <w:numId w:val="13"/>
        </w:numPr>
      </w:pPr>
      <w:r w:rsidRPr="00A553A6">
        <w:t>排序指标 (flag)：为了解决这个问题，LCO-AGQ 定义了一个排序指标</w:t>
      </w:r>
      <m:oMath>
        <m:sSub>
          <m:sSubPr>
            <m:ctrlPr>
              <w:rPr>
                <w:rFonts w:ascii="Cambria Math" w:hAnsi="Cambria Math"/>
                <w:i/>
              </w:rPr>
            </m:ctrlPr>
          </m:sSubPr>
          <m:e>
            <m:r>
              <w:rPr>
                <w:rFonts w:ascii="Cambria Math" w:hAnsi="Cambria Math"/>
              </w:rPr>
              <m:t>flag</m:t>
            </m:r>
          </m:e>
          <m:sub>
            <m:r>
              <w:rPr>
                <w:rFonts w:ascii="Cambria Math" w:hAnsi="Cambria Math"/>
              </w:rPr>
              <m:t>i,l(i)</m:t>
            </m:r>
          </m:sub>
        </m:sSub>
      </m:oMath>
      <w:r w:rsidRPr="00A553A6">
        <w:t>：</w:t>
      </w:r>
    </w:p>
    <w:p w14:paraId="1A0D1886" w14:textId="1D576CC1" w:rsidR="003D59A1" w:rsidRPr="00A553A6" w:rsidRDefault="003D59A1" w:rsidP="003D59A1">
      <w:pPr>
        <w:ind w:left="720"/>
        <w:rPr>
          <w:rFonts w:hint="eastAsia"/>
        </w:rPr>
      </w:pPr>
      <m:oMathPara>
        <m:oMath>
          <m:sSub>
            <m:sSubPr>
              <m:ctrlPr>
                <w:rPr>
                  <w:rFonts w:ascii="Cambria Math" w:hAnsi="Cambria Math"/>
                  <w:i/>
                </w:rPr>
              </m:ctrlPr>
            </m:sSubPr>
            <m:e>
              <m:r>
                <w:rPr>
                  <w:rFonts w:ascii="Cambria Math" w:hAnsi="Cambria Math"/>
                </w:rPr>
                <m:t>flag</m:t>
              </m:r>
            </m:e>
            <m:sub>
              <m:r>
                <w:rPr>
                  <w:rFonts w:ascii="Cambria Math" w:hAnsi="Cambria Math"/>
                </w:rPr>
                <m:t>i,l(i)</m:t>
              </m:r>
            </m:sub>
          </m:sSub>
          <m:r>
            <w:rPr>
              <w:rFonts w:ascii="Cambria Math" w:hAnsi="Cambria Math"/>
            </w:rPr>
            <m:t>=</m:t>
          </m:r>
          <m:d>
            <m:dPr>
              <m:begChr m:val="["/>
              <m:endChr m:val="]"/>
              <m:ctrlPr>
                <w:rPr>
                  <w:rFonts w:ascii="Cambria Math" w:hAnsi="Cambria Math"/>
                  <w:i/>
                </w:rPr>
              </m:ctrlPr>
            </m:dPr>
            <m:e>
              <m:r>
                <w:rPr>
                  <w:rFonts w:ascii="Cambria Math" w:hAnsi="Cambria Math"/>
                </w:rPr>
                <m:t>α</m:t>
              </m:r>
              <m:sSubSup>
                <m:sSubSupPr>
                  <m:ctrlPr>
                    <w:rPr>
                      <w:rFonts w:ascii="Cambria Math" w:hAnsi="Cambria Math"/>
                      <w:i/>
                    </w:rPr>
                  </m:ctrlPr>
                </m:sSubSupPr>
                <m:e>
                  <m:r>
                    <w:rPr>
                      <w:rFonts w:ascii="Cambria Math" w:hAnsi="Cambria Math" w:hint="eastAsia"/>
                    </w:rPr>
                    <m:t>q</m:t>
                  </m:r>
                </m:e>
                <m:sub>
                  <m:r>
                    <w:rPr>
                      <w:rFonts w:ascii="Cambria Math" w:hAnsi="Cambria Math"/>
                    </w:rPr>
                    <m:t>i,l</m:t>
                  </m:r>
                  <m:d>
                    <m:dPr>
                      <m:ctrlPr>
                        <w:rPr>
                          <w:rFonts w:ascii="Cambria Math" w:hAnsi="Cambria Math"/>
                          <w:i/>
                        </w:rPr>
                      </m:ctrlPr>
                    </m:dPr>
                    <m:e>
                      <m:r>
                        <w:rPr>
                          <w:rFonts w:ascii="Cambria Math" w:hAnsi="Cambria Math"/>
                        </w:rPr>
                        <m:t>i</m:t>
                      </m:r>
                    </m:e>
                  </m:d>
                </m:sub>
                <m:sup>
                  <m:r>
                    <w:rPr>
                      <w:rFonts w:ascii="Cambria Math" w:hAnsi="Cambria Math"/>
                    </w:rPr>
                    <m:t>t</m:t>
                  </m:r>
                </m:sup>
              </m:sSubSup>
              <m:r>
                <w:rPr>
                  <w:rFonts w:ascii="Cambria Math" w:hAnsi="Cambria Math"/>
                </w:rPr>
                <m:t>+</m:t>
              </m:r>
              <m:d>
                <m:dPr>
                  <m:ctrlPr>
                    <w:rPr>
                      <w:rFonts w:ascii="Cambria Math" w:hAnsi="Cambria Math"/>
                      <w:i/>
                    </w:rPr>
                  </m:ctrlPr>
                </m:dPr>
                <m:e>
                  <m:r>
                    <w:rPr>
                      <w:rFonts w:ascii="Cambria Math" w:hAnsi="Cambria Math"/>
                    </w:rPr>
                    <m:t>1-α</m:t>
                  </m:r>
                </m:e>
              </m:d>
              <m:sSub>
                <m:sSubPr>
                  <m:ctrlPr>
                    <w:rPr>
                      <w:rFonts w:ascii="Cambria Math" w:hAnsi="Cambria Math"/>
                      <w:i/>
                    </w:rPr>
                  </m:ctrlPr>
                </m:sSubPr>
                <m:e>
                  <m:r>
                    <w:rPr>
                      <w:rFonts w:ascii="Cambria Math" w:hAnsi="Cambria Math"/>
                    </w:rPr>
                    <m:t>B</m:t>
                  </m:r>
                </m:e>
                <m:sub>
                  <m:r>
                    <w:rPr>
                      <w:rFonts w:ascii="Cambria Math" w:hAnsi="Cambria Math"/>
                    </w:rPr>
                    <m:t>i</m:t>
                  </m:r>
                </m:sub>
              </m:sSub>
            </m:e>
          </m:d>
          <m:r>
            <w:rPr>
              <w:rFonts w:ascii="Cambria Math" w:hAnsi="Cambria Math"/>
            </w:rPr>
            <m:t>/(l</m:t>
          </m:r>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oMath>
      </m:oMathPara>
    </w:p>
    <w:p w14:paraId="58D44463" w14:textId="5FC76B28" w:rsidR="00A553A6" w:rsidRPr="00A553A6" w:rsidRDefault="00A553A6" w:rsidP="00A553A6">
      <w:pPr>
        <w:numPr>
          <w:ilvl w:val="1"/>
          <w:numId w:val="13"/>
        </w:numPr>
      </w:pPr>
      <w:r w:rsidRPr="00A553A6">
        <w:t>该指标旨在平衡客户端质量</w:t>
      </w:r>
      <m:oMath>
        <m:sSubSup>
          <m:sSubSupPr>
            <m:ctrlPr>
              <w:rPr>
                <w:rFonts w:ascii="Cambria Math" w:hAnsi="Cambria Math"/>
                <w:i/>
              </w:rPr>
            </m:ctrlPr>
          </m:sSubSupPr>
          <m:e>
            <m:r>
              <w:rPr>
                <w:rFonts w:ascii="Cambria Math" w:hAnsi="Cambria Math" w:hint="eastAsia"/>
              </w:rPr>
              <m:t>q</m:t>
            </m:r>
          </m:e>
          <m:sub>
            <m:r>
              <w:rPr>
                <w:rFonts w:ascii="Cambria Math" w:hAnsi="Cambria Math"/>
              </w:rPr>
              <m:t>i,l</m:t>
            </m:r>
            <m:d>
              <m:dPr>
                <m:ctrlPr>
                  <w:rPr>
                    <w:rFonts w:ascii="Cambria Math" w:hAnsi="Cambria Math"/>
                    <w:i/>
                  </w:rPr>
                </m:ctrlPr>
              </m:dPr>
              <m:e>
                <m:r>
                  <w:rPr>
                    <w:rFonts w:ascii="Cambria Math" w:hAnsi="Cambria Math"/>
                  </w:rPr>
                  <m:t>i</m:t>
                </m:r>
              </m:e>
            </m:d>
          </m:sub>
          <m:sup>
            <m:r>
              <w:rPr>
                <w:rFonts w:ascii="Cambria Math" w:hAnsi="Cambria Math"/>
              </w:rPr>
              <m:t>t</m:t>
            </m:r>
          </m:sup>
        </m:sSubSup>
      </m:oMath>
      <w:r w:rsidRPr="00A553A6">
        <w:t>和带宽</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Pr="00A553A6">
        <w:t>。</w:t>
      </w:r>
    </w:p>
    <w:p w14:paraId="62507988" w14:textId="551B64AE" w:rsidR="00A553A6" w:rsidRPr="00A553A6" w:rsidRDefault="003D59A1" w:rsidP="00A553A6">
      <w:pPr>
        <w:numPr>
          <w:ilvl w:val="1"/>
          <w:numId w:val="13"/>
        </w:numPr>
      </w:pPr>
      <m:oMath>
        <m:r>
          <w:rPr>
            <w:rFonts w:ascii="Cambria Math" w:hAnsi="Cambria Math"/>
          </w:rPr>
          <m:t>α</m:t>
        </m:r>
      </m:oMath>
      <w:r w:rsidR="00A553A6" w:rsidRPr="00A553A6">
        <w:t>是一个超参数，用于平衡质量和带宽的重要性。</w:t>
      </w:r>
    </w:p>
    <w:p w14:paraId="44534201" w14:textId="6AFAD080" w:rsidR="00A553A6" w:rsidRPr="00A553A6" w:rsidRDefault="003D59A1" w:rsidP="00A553A6">
      <w:pPr>
        <w:numPr>
          <w:ilvl w:val="1"/>
          <w:numId w:val="13"/>
        </w:numPr>
      </w:pPr>
      <m:oMath>
        <m:r>
          <w:rPr>
            <w:rFonts w:ascii="Cambria Math" w:hAnsi="Cambria Math"/>
          </w:rPr>
          <m:t>l</m:t>
        </m:r>
        <m:d>
          <m:dPr>
            <m:ctrlPr>
              <w:rPr>
                <w:rFonts w:ascii="Cambria Math" w:hAnsi="Cambria Math"/>
                <w:i/>
              </w:rPr>
            </m:ctrlPr>
          </m:dPr>
          <m:e>
            <m:r>
              <w:rPr>
                <w:rFonts w:ascii="Cambria Math" w:hAnsi="Cambria Math"/>
              </w:rPr>
              <m:t>i</m:t>
            </m:r>
          </m:e>
        </m:d>
      </m:oMath>
      <w:r w:rsidR="00A553A6" w:rsidRPr="00A553A6">
        <w:t>是量化级别（成本），</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A553A6" w:rsidRPr="00A553A6">
        <w:t>是客户端约束参数。</w:t>
      </w:r>
    </w:p>
    <w:p w14:paraId="4917F3E8" w14:textId="778FD862" w:rsidR="00A553A6" w:rsidRPr="00A553A6" w:rsidRDefault="00A553A6" w:rsidP="00A553A6">
      <w:pPr>
        <w:numPr>
          <w:ilvl w:val="0"/>
          <w:numId w:val="13"/>
        </w:numPr>
      </w:pPr>
      <w:r w:rsidRPr="00A553A6">
        <w:rPr>
          <w:b/>
          <w:bCs/>
        </w:rPr>
        <w:t>选择：</w:t>
      </w:r>
      <w:r w:rsidRPr="00A553A6">
        <w:t xml:space="preserve"> 服务器计算所有客户端在所有可能量化级别下的</w:t>
      </w:r>
      <m:oMath>
        <m:r>
          <w:rPr>
            <w:rFonts w:ascii="Cambria Math" w:hAnsi="Cambria Math"/>
          </w:rPr>
          <m:t>flag</m:t>
        </m:r>
      </m:oMath>
      <w:r w:rsidRPr="00A553A6">
        <w:t>值，按降序排列，然后依次选择</w:t>
      </w:r>
      <m:oMath>
        <m:r>
          <w:rPr>
            <w:rFonts w:ascii="Cambria Math" w:hAnsi="Cambria Math"/>
          </w:rPr>
          <m:t>flag</m:t>
        </m:r>
      </m:oMath>
      <w:r w:rsidRPr="00A553A6">
        <w:t>最高的客户端及其量化策略，直到达到资源约束（如总带宽限制）</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Pr="00A553A6">
        <w:t>。</w:t>
      </w:r>
    </w:p>
    <w:p w14:paraId="36F4F96D" w14:textId="77777777" w:rsidR="00A553A6" w:rsidRPr="00A553A6" w:rsidRDefault="00A553A6" w:rsidP="00A553A6">
      <w:pPr>
        <w:rPr>
          <w:b/>
          <w:bCs/>
        </w:rPr>
      </w:pPr>
      <w:r w:rsidRPr="00A553A6">
        <w:rPr>
          <w:b/>
          <w:bCs/>
        </w:rPr>
        <w:t>3. 创新点</w:t>
      </w:r>
    </w:p>
    <w:p w14:paraId="6F11A4E2" w14:textId="77777777" w:rsidR="00A553A6" w:rsidRPr="00A553A6" w:rsidRDefault="00A553A6" w:rsidP="00C852C1">
      <w:pPr>
        <w:ind w:firstLineChars="200" w:firstLine="440"/>
      </w:pPr>
      <w:r w:rsidRPr="00A553A6">
        <w:t>论文的主要贡献总结如下：</w:t>
      </w:r>
    </w:p>
    <w:p w14:paraId="12EF6D96" w14:textId="5F0CDF19" w:rsidR="00A553A6" w:rsidRPr="00A553A6" w:rsidRDefault="00A553A6" w:rsidP="00A553A6">
      <w:pPr>
        <w:numPr>
          <w:ilvl w:val="0"/>
          <w:numId w:val="14"/>
        </w:numPr>
      </w:pPr>
      <w:r w:rsidRPr="00A553A6">
        <w:rPr>
          <w:b/>
          <w:bCs/>
        </w:rPr>
        <w:t>引入双曲正切函数：</w:t>
      </w:r>
      <w:r w:rsidRPr="00A553A6">
        <w:t xml:space="preserve"> 首次引入双曲正切函数 (hyperbolic tangent function) 来表征不同量化级别对客户端质量（即训练过程收益）的影响。</w:t>
      </w:r>
    </w:p>
    <w:p w14:paraId="064BD429" w14:textId="17A241FB" w:rsidR="00A553A6" w:rsidRPr="00A553A6" w:rsidRDefault="00A553A6" w:rsidP="00A553A6">
      <w:pPr>
        <w:numPr>
          <w:ilvl w:val="0"/>
          <w:numId w:val="14"/>
        </w:numPr>
      </w:pPr>
      <w:r w:rsidRPr="00A553A6">
        <w:rPr>
          <w:b/>
          <w:bCs/>
        </w:rPr>
        <w:t>轻量级估计方法：</w:t>
      </w:r>
      <w:r w:rsidRPr="00A553A6">
        <w:t xml:space="preserve"> 基于该函数和关键观察（影响在客户端间和轮次间的一致性），提出了一种轻量级的方法来</w:t>
      </w:r>
      <w:proofErr w:type="gramStart"/>
      <w:r w:rsidRPr="00A553A6">
        <w:t>估计自</w:t>
      </w:r>
      <w:proofErr w:type="gramEnd"/>
      <w:r w:rsidRPr="00A553A6">
        <w:t xml:space="preserve">适应量化级别对训练的贡献 </w:t>
      </w:r>
      <w:r w:rsidRPr="00A553A6">
        <w:rPr>
          <w:vertAlign w:val="superscript"/>
        </w:rPr>
        <w:t>34</w:t>
      </w:r>
      <w:r w:rsidRPr="00A553A6">
        <w:t>，避免了现有自适应方法带来的高额计算开销。</w:t>
      </w:r>
    </w:p>
    <w:p w14:paraId="2616D302" w14:textId="4FF48F9D" w:rsidR="00A553A6" w:rsidRPr="00A553A6" w:rsidRDefault="00A553A6" w:rsidP="00A553A6">
      <w:pPr>
        <w:numPr>
          <w:ilvl w:val="0"/>
          <w:numId w:val="14"/>
        </w:numPr>
      </w:pPr>
      <w:r w:rsidRPr="00A553A6">
        <w:rPr>
          <w:b/>
          <w:bCs/>
        </w:rPr>
        <w:t>提出 LCO-AGQ 算法：</w:t>
      </w:r>
      <w:r w:rsidRPr="00A553A6">
        <w:t xml:space="preserve"> 该算法应用了上述轻量级指标，综合考虑了模型训练进度和客户端数据质量的异质性，使客户端能够自适应地选择量化级别，以提高 FL 系统的效率。</w:t>
      </w:r>
    </w:p>
    <w:p w14:paraId="54A9AA59" w14:textId="0BD79B8D" w:rsidR="00A553A6" w:rsidRPr="00A553A6" w:rsidRDefault="00A553A6" w:rsidP="00A553A6">
      <w:pPr>
        <w:numPr>
          <w:ilvl w:val="0"/>
          <w:numId w:val="14"/>
        </w:numPr>
      </w:pPr>
      <w:r w:rsidRPr="00A553A6">
        <w:rPr>
          <w:b/>
          <w:bCs/>
        </w:rPr>
        <w:t>理论分析：</w:t>
      </w:r>
      <w:r w:rsidRPr="00A553A6">
        <w:t xml:space="preserve"> 提供了收敛性分析，从理论上证明了 LCO-AGQ 算法的收敛速度与非压缩算法具有相同的阶数。</w:t>
      </w:r>
    </w:p>
    <w:p w14:paraId="0BF90222" w14:textId="213119AF" w:rsidR="00A553A6" w:rsidRPr="00A553A6" w:rsidRDefault="00A553A6" w:rsidP="00A553A6">
      <w:pPr>
        <w:numPr>
          <w:ilvl w:val="0"/>
          <w:numId w:val="14"/>
        </w:numPr>
      </w:pPr>
      <w:r w:rsidRPr="00A553A6">
        <w:rPr>
          <w:b/>
          <w:bCs/>
        </w:rPr>
        <w:t>显著的性能提升：</w:t>
      </w:r>
      <w:r w:rsidRPr="00A553A6">
        <w:t xml:space="preserve"> 实验结果表明，与传统的通信优化算法相比，LCO-AGQ 在保证相近精度的同时，只消耗了 24.21% - 27.32% 的通信成本。与最先进的自适应量化算法 (</w:t>
      </w:r>
      <w:proofErr w:type="spellStart"/>
      <w:r w:rsidRPr="00A553A6">
        <w:t>AdaGQ</w:t>
      </w:r>
      <w:proofErr w:type="spellEnd"/>
      <w:r w:rsidRPr="00A553A6">
        <w:t>) 相比，LCO-AGQ 在保持相似精度和总运行时间的同时，计算成本仅为对方的 64.52% - 69.93%，通信成本仅为对方的 62.11% - 74.63</w:t>
      </w:r>
      <w:r w:rsidR="00052ADD">
        <w:rPr>
          <w:rFonts w:hint="eastAsia"/>
        </w:rPr>
        <w:t>%</w:t>
      </w:r>
      <w:r w:rsidRPr="00A553A6">
        <w:t>。</w:t>
      </w:r>
    </w:p>
    <w:p w14:paraId="50989459" w14:textId="25F32FD0" w:rsidR="00F10D31" w:rsidRPr="00A553A6" w:rsidRDefault="00052ADD" w:rsidP="00052ADD">
      <w:pPr>
        <w:ind w:firstLine="360"/>
        <w:rPr>
          <w:rFonts w:hint="eastAsia"/>
        </w:rPr>
      </w:pPr>
      <w:r>
        <w:rPr>
          <w:rFonts w:hint="eastAsia"/>
        </w:rPr>
        <w:t>个人感受：这篇论文的</w:t>
      </w:r>
      <w:proofErr w:type="gramStart"/>
      <w:r>
        <w:rPr>
          <w:rFonts w:hint="eastAsia"/>
        </w:rPr>
        <w:t>的</w:t>
      </w:r>
      <w:proofErr w:type="gramEnd"/>
      <w:r>
        <w:rPr>
          <w:rFonts w:hint="eastAsia"/>
        </w:rPr>
        <w:t>一些想法都非常的新颖而且巧妙，比如说用双曲正切函数去拟合以及对客户端数据质量最终简化公式的推导。但同时这篇论文也非常的严谨，在论文中都有详细的去论证这些方法的可行性。另外，感受颇深的还是数学得学好才能去印证这些巧思或者</w:t>
      </w:r>
      <w:proofErr w:type="gramStart"/>
      <w:r>
        <w:rPr>
          <w:rFonts w:hint="eastAsia"/>
        </w:rPr>
        <w:t>发倔一些</w:t>
      </w:r>
      <w:proofErr w:type="gramEnd"/>
      <w:r>
        <w:rPr>
          <w:rFonts w:hint="eastAsia"/>
        </w:rPr>
        <w:t>比较新颖idea.</w:t>
      </w:r>
    </w:p>
    <w:sectPr w:rsidR="00F10D31" w:rsidRPr="00A553A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荣烨 凌" w:date="2025-10-20T23:17:00Z" w:initials="荣凌">
    <w:p w14:paraId="322B6E4A" w14:textId="77777777" w:rsidR="00D72D1D" w:rsidRDefault="00D72D1D" w:rsidP="00D72D1D">
      <w:pPr>
        <w:pStyle w:val="af2"/>
      </w:pPr>
      <w:r>
        <w:rPr>
          <w:rStyle w:val="af1"/>
          <w:rFonts w:hint="eastAsia"/>
        </w:rPr>
        <w:annotationRef/>
      </w:r>
      <w:r>
        <w:rPr>
          <w:rFonts w:hint="eastAsia"/>
        </w:rPr>
        <w:t>根据最近读的有关个性化联邦学习的论文，我发现很多论文都是使用类似的分成全局化特征以及个性化特征的形式</w:t>
      </w:r>
    </w:p>
  </w:comment>
  <w:comment w:id="1" w:author="荣烨 凌" w:date="2025-10-20T23:22:00Z" w:initials="荣凌">
    <w:p w14:paraId="18B49B1C" w14:textId="77777777" w:rsidR="00D72D1D" w:rsidRDefault="00D72D1D" w:rsidP="00D72D1D">
      <w:pPr>
        <w:pStyle w:val="af2"/>
      </w:pPr>
      <w:r>
        <w:rPr>
          <w:rStyle w:val="af1"/>
          <w:rFonts w:hint="eastAsia"/>
        </w:rPr>
        <w:annotationRef/>
      </w:r>
      <w:r>
        <w:rPr>
          <w:rFonts w:hint="eastAsia"/>
        </w:rPr>
        <w:t>对比损失主要是引导客户端的全局特征向量再特征空间中接近器所属的正确异常类别的嵌入，同时远离其他类别的嵌入，通过计算全局特征向量与所有类别嵌入之间的余弦相似度定义</w:t>
      </w:r>
    </w:p>
  </w:comment>
  <w:comment w:id="2" w:author="荣烨 凌" w:date="2025-10-20T23:28:00Z" w:initials="荣凌">
    <w:p w14:paraId="28DABA27" w14:textId="77777777" w:rsidR="00506F4D" w:rsidRDefault="00506F4D" w:rsidP="00506F4D">
      <w:pPr>
        <w:pStyle w:val="af2"/>
      </w:pPr>
      <w:r>
        <w:rPr>
          <w:rStyle w:val="af1"/>
          <w:rFonts w:hint="eastAsia"/>
        </w:rPr>
        <w:annotationRef/>
      </w:r>
      <w:r>
        <w:rPr>
          <w:rFonts w:hint="eastAsia"/>
        </w:rPr>
        <w:t>幅度损失同样是用于全局学习的损失 。它用于引导全局特征向量</w:t>
      </w:r>
      <w:r>
        <w:rPr>
          <w:rFonts w:hint="eastAsia"/>
          <w:b/>
          <w:bCs/>
        </w:rPr>
        <w:t xml:space="preserve"> </w:t>
      </w:r>
      <w:r>
        <w:rPr>
          <w:rFonts w:hint="eastAsia"/>
        </w:rPr>
        <w:t>接近冻结的全局类别嵌入 ，以此来改善模型训练。具体来说，幅度损失通过提供一个本轮不变的、固定的学习目标 ，来稳定全局特征的学习过程，防止其在追逐另一个可移动目标 （GCE）时发生过度漂移,从而改善训练。</w:t>
      </w:r>
    </w:p>
  </w:comment>
  <w:comment w:id="3" w:author="荣烨 凌" w:date="2025-10-20T23:33:00Z" w:initials="荣凌">
    <w:p w14:paraId="6AA4D38B" w14:textId="77777777" w:rsidR="00506F4D" w:rsidRDefault="00506F4D" w:rsidP="00506F4D">
      <w:pPr>
        <w:pStyle w:val="af2"/>
      </w:pPr>
      <w:r>
        <w:rPr>
          <w:rStyle w:val="af1"/>
          <w:rFonts w:hint="eastAsia"/>
        </w:rPr>
        <w:annotationRef/>
      </w:r>
      <w:r>
        <w:rPr>
          <w:rFonts w:hint="eastAsia"/>
        </w:rPr>
        <w:t>这是用于本地个性化更新的损失。它专门用于指导个性化特征向量</w:t>
      </w:r>
      <w:r>
        <w:rPr>
          <w:rFonts w:hint="eastAsia"/>
          <w:b/>
          <w:bCs/>
        </w:rPr>
        <w:t>，</w:t>
      </w:r>
      <w:r>
        <w:rPr>
          <w:rFonts w:hint="eastAsia"/>
        </w:rPr>
        <w:t>通过客户端独有的个性化头来学习本地数据的特征信息。</w:t>
      </w:r>
    </w:p>
  </w:comment>
  <w:comment w:id="4" w:author="荣烨 凌" w:date="2025-10-20T23:36:00Z" w:initials="荣凌">
    <w:p w14:paraId="07322B0E" w14:textId="77777777" w:rsidR="00691C2C" w:rsidRDefault="00691C2C" w:rsidP="00691C2C">
      <w:pPr>
        <w:pStyle w:val="af2"/>
      </w:pPr>
      <w:r>
        <w:rPr>
          <w:rStyle w:val="af1"/>
          <w:rFonts w:hint="eastAsia"/>
        </w:rPr>
        <w:annotationRef/>
      </w:r>
      <w:r>
        <w:rPr>
          <w:rFonts w:hint="eastAsia"/>
        </w:rPr>
        <w:t>非常创新的一个点！该策略的原理基于一个核心假设：在某些训练阶段，更简单的个性化损失（交叉熵）已经足以代表“正确”的总体更新方向。 根据梯度和余弦相似度的含义我们可以很容易理解这一点</w:t>
      </w:r>
    </w:p>
  </w:comment>
  <w:comment w:id="5" w:author="荣烨 凌" w:date="2025-10-21T00:24:00Z" w:initials="荣凌">
    <w:p w14:paraId="438B0153" w14:textId="77777777" w:rsidR="003D59A1" w:rsidRDefault="003D59A1" w:rsidP="003D59A1">
      <w:pPr>
        <w:pStyle w:val="af2"/>
      </w:pPr>
      <w:r>
        <w:rPr>
          <w:rStyle w:val="af1"/>
          <w:rFonts w:hint="eastAsia"/>
        </w:rPr>
        <w:annotationRef/>
      </w:r>
      <w:r>
        <w:rPr>
          <w:rFonts w:hint="eastAsia"/>
        </w:rPr>
        <w:t>非常amazing的发现</w:t>
      </w:r>
    </w:p>
  </w:comment>
  <w:comment w:id="6" w:author="荣烨 凌" w:date="2025-10-21T00:26:00Z" w:initials="荣凌">
    <w:p w14:paraId="73B311B5" w14:textId="77777777" w:rsidR="00052ADD" w:rsidRDefault="00052ADD" w:rsidP="00052ADD">
      <w:pPr>
        <w:pStyle w:val="af2"/>
      </w:pPr>
      <w:r>
        <w:rPr>
          <w:rStyle w:val="af1"/>
          <w:rFonts w:hint="eastAsia"/>
        </w:rPr>
        <w:annotationRef/>
      </w:r>
      <w:r>
        <w:rPr>
          <w:rFonts w:hint="eastAsia"/>
        </w:rPr>
        <w:t>非常巧妙的设计，值得学习</w:t>
      </w:r>
    </w:p>
  </w:comment>
  <w:comment w:id="7" w:author="荣烨 凌" w:date="2025-10-21T00:08:00Z" w:initials="荣凌">
    <w:p w14:paraId="74A82BC5" w14:textId="2E52A8C4" w:rsidR="00411AF6" w:rsidRDefault="00411AF6" w:rsidP="00411AF6">
      <w:pPr>
        <w:pStyle w:val="af2"/>
      </w:pPr>
      <w:r>
        <w:rPr>
          <w:rStyle w:val="af1"/>
          <w:rFonts w:hint="eastAsia"/>
        </w:rPr>
        <w:annotationRef/>
      </w:r>
      <w:r>
        <w:rPr>
          <w:rFonts w:hint="eastAsia"/>
        </w:rPr>
        <w:t>这里本来客户端的数据质量应该要与模型训练前的损失以及训练后的损失的差值有关，这里简化为只跟当前模型的损失有关是基于两个之前论文的研究结论：1.损失值的变化量与模型更新梯度的L2范数正相关 2.当前的损失值F越大，梯度L2范数越大</w:t>
      </w:r>
    </w:p>
  </w:comment>
  <w:comment w:id="8" w:author="荣烨 凌" w:date="2025-10-21T00:23:00Z" w:initials="荣凌">
    <w:p w14:paraId="1D463132" w14:textId="77777777" w:rsidR="003D59A1" w:rsidRDefault="003D59A1" w:rsidP="003D59A1">
      <w:pPr>
        <w:pStyle w:val="af2"/>
      </w:pPr>
      <w:r>
        <w:rPr>
          <w:rStyle w:val="af1"/>
          <w:rFonts w:hint="eastAsia"/>
        </w:rPr>
        <w:annotationRef/>
      </w:r>
      <w:r>
        <w:rPr>
          <w:rFonts w:hint="eastAsia"/>
        </w:rPr>
        <w:t>这里的公式原论文中经过了推导得出，并且最后还从理论上进行了收敛性分析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2B6E4A" w15:done="0"/>
  <w15:commentEx w15:paraId="18B49B1C" w15:done="0"/>
  <w15:commentEx w15:paraId="28DABA27" w15:done="0"/>
  <w15:commentEx w15:paraId="6AA4D38B" w15:done="0"/>
  <w15:commentEx w15:paraId="07322B0E" w15:done="0"/>
  <w15:commentEx w15:paraId="438B0153" w15:done="0"/>
  <w15:commentEx w15:paraId="73B311B5" w15:done="0"/>
  <w15:commentEx w15:paraId="74A82BC5" w15:done="0"/>
  <w15:commentEx w15:paraId="1D4631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C2ADFC" w16cex:dateUtc="2025-10-20T15:17:00Z"/>
  <w16cex:commentExtensible w16cex:durableId="31AE2C25" w16cex:dateUtc="2025-10-20T15:22:00Z"/>
  <w16cex:commentExtensible w16cex:durableId="234AA952" w16cex:dateUtc="2025-10-20T15:28:00Z"/>
  <w16cex:commentExtensible w16cex:durableId="5E78534D" w16cex:dateUtc="2025-10-20T15:33:00Z"/>
  <w16cex:commentExtensible w16cex:durableId="22C4D059" w16cex:dateUtc="2025-10-20T15:36:00Z"/>
  <w16cex:commentExtensible w16cex:durableId="1AAA8C38" w16cex:dateUtc="2025-10-20T16:24:00Z"/>
  <w16cex:commentExtensible w16cex:durableId="40EB65BA" w16cex:dateUtc="2025-10-20T16:26:00Z"/>
  <w16cex:commentExtensible w16cex:durableId="717A57E3" w16cex:dateUtc="2025-10-20T16:08:00Z"/>
  <w16cex:commentExtensible w16cex:durableId="2304BA87" w16cex:dateUtc="2025-10-20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2B6E4A" w16cid:durableId="70C2ADFC"/>
  <w16cid:commentId w16cid:paraId="18B49B1C" w16cid:durableId="31AE2C25"/>
  <w16cid:commentId w16cid:paraId="28DABA27" w16cid:durableId="234AA952"/>
  <w16cid:commentId w16cid:paraId="6AA4D38B" w16cid:durableId="5E78534D"/>
  <w16cid:commentId w16cid:paraId="07322B0E" w16cid:durableId="22C4D059"/>
  <w16cid:commentId w16cid:paraId="438B0153" w16cid:durableId="1AAA8C38"/>
  <w16cid:commentId w16cid:paraId="73B311B5" w16cid:durableId="40EB65BA"/>
  <w16cid:commentId w16cid:paraId="74A82BC5" w16cid:durableId="717A57E3"/>
  <w16cid:commentId w16cid:paraId="1D463132" w16cid:durableId="2304BA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4D0"/>
    <w:multiLevelType w:val="hybridMultilevel"/>
    <w:tmpl w:val="4D9601E6"/>
    <w:lvl w:ilvl="0" w:tplc="41AA8D1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87D587A"/>
    <w:multiLevelType w:val="multilevel"/>
    <w:tmpl w:val="EDBC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D41BC"/>
    <w:multiLevelType w:val="hybridMultilevel"/>
    <w:tmpl w:val="37144B80"/>
    <w:lvl w:ilvl="0" w:tplc="41AA8D1E">
      <w:start w:val="1"/>
      <w:numFmt w:val="decimal"/>
      <w:lvlText w:val="%1."/>
      <w:lvlJc w:val="left"/>
      <w:pPr>
        <w:ind w:left="120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CF62FD5"/>
    <w:multiLevelType w:val="multilevel"/>
    <w:tmpl w:val="81C61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135C8"/>
    <w:multiLevelType w:val="multilevel"/>
    <w:tmpl w:val="03623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7E4556"/>
    <w:multiLevelType w:val="multilevel"/>
    <w:tmpl w:val="7008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1E362A"/>
    <w:multiLevelType w:val="multilevel"/>
    <w:tmpl w:val="4CC6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025CA"/>
    <w:multiLevelType w:val="multilevel"/>
    <w:tmpl w:val="C6D8C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877035"/>
    <w:multiLevelType w:val="multilevel"/>
    <w:tmpl w:val="D94A9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CB42D1"/>
    <w:multiLevelType w:val="multilevel"/>
    <w:tmpl w:val="1DC43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0357F1"/>
    <w:multiLevelType w:val="multilevel"/>
    <w:tmpl w:val="06425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831E82"/>
    <w:multiLevelType w:val="multilevel"/>
    <w:tmpl w:val="1410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E2B40"/>
    <w:multiLevelType w:val="multilevel"/>
    <w:tmpl w:val="E7540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A05372"/>
    <w:multiLevelType w:val="multilevel"/>
    <w:tmpl w:val="E1864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F3506D"/>
    <w:multiLevelType w:val="hybridMultilevel"/>
    <w:tmpl w:val="139CC248"/>
    <w:lvl w:ilvl="0" w:tplc="04090013">
      <w:start w:val="1"/>
      <w:numFmt w:val="chineseCountingThousand"/>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5" w15:restartNumberingAfterBreak="0">
    <w:nsid w:val="5F3007BE"/>
    <w:multiLevelType w:val="hybridMultilevel"/>
    <w:tmpl w:val="7EAE80AA"/>
    <w:lvl w:ilvl="0" w:tplc="04090013">
      <w:start w:val="1"/>
      <w:numFmt w:val="chineseCountingThousand"/>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7161700B"/>
    <w:multiLevelType w:val="multilevel"/>
    <w:tmpl w:val="371CB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814549"/>
    <w:multiLevelType w:val="hybridMultilevel"/>
    <w:tmpl w:val="8F563A20"/>
    <w:lvl w:ilvl="0" w:tplc="DF4025D2">
      <w:start w:val="1"/>
      <w:numFmt w:val="upperRoman"/>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7F320428"/>
    <w:multiLevelType w:val="hybridMultilevel"/>
    <w:tmpl w:val="467A0ED4"/>
    <w:lvl w:ilvl="0" w:tplc="DF4025D2">
      <w:start w:val="1"/>
      <w:numFmt w:val="upperRoman"/>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63018029">
    <w:abstractNumId w:val="0"/>
  </w:num>
  <w:num w:numId="2" w16cid:durableId="458498651">
    <w:abstractNumId w:val="8"/>
  </w:num>
  <w:num w:numId="3" w16cid:durableId="1739983333">
    <w:abstractNumId w:val="3"/>
  </w:num>
  <w:num w:numId="4" w16cid:durableId="1548755215">
    <w:abstractNumId w:val="1"/>
  </w:num>
  <w:num w:numId="5" w16cid:durableId="125662710">
    <w:abstractNumId w:val="4"/>
  </w:num>
  <w:num w:numId="6" w16cid:durableId="197596177">
    <w:abstractNumId w:val="12"/>
  </w:num>
  <w:num w:numId="7" w16cid:durableId="312831975">
    <w:abstractNumId w:val="7"/>
  </w:num>
  <w:num w:numId="8" w16cid:durableId="142702345">
    <w:abstractNumId w:val="6"/>
  </w:num>
  <w:num w:numId="9" w16cid:durableId="1384210837">
    <w:abstractNumId w:val="16"/>
  </w:num>
  <w:num w:numId="10" w16cid:durableId="1464615899">
    <w:abstractNumId w:val="13"/>
  </w:num>
  <w:num w:numId="11" w16cid:durableId="986206374">
    <w:abstractNumId w:val="5"/>
  </w:num>
  <w:num w:numId="12" w16cid:durableId="1345983206">
    <w:abstractNumId w:val="11"/>
  </w:num>
  <w:num w:numId="13" w16cid:durableId="77411966">
    <w:abstractNumId w:val="10"/>
  </w:num>
  <w:num w:numId="14" w16cid:durableId="240917383">
    <w:abstractNumId w:val="9"/>
  </w:num>
  <w:num w:numId="15" w16cid:durableId="1981037101">
    <w:abstractNumId w:val="2"/>
  </w:num>
  <w:num w:numId="16" w16cid:durableId="1051463363">
    <w:abstractNumId w:val="17"/>
  </w:num>
  <w:num w:numId="17" w16cid:durableId="882327912">
    <w:abstractNumId w:val="14"/>
  </w:num>
  <w:num w:numId="18" w16cid:durableId="1130318891">
    <w:abstractNumId w:val="15"/>
  </w:num>
  <w:num w:numId="19" w16cid:durableId="68425448">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荣烨 凌">
    <w15:presenceInfo w15:providerId="Windows Live" w15:userId="b121b32e0b8719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79D"/>
    <w:rsid w:val="00052ADD"/>
    <w:rsid w:val="00080568"/>
    <w:rsid w:val="002944C1"/>
    <w:rsid w:val="002A7755"/>
    <w:rsid w:val="002F6177"/>
    <w:rsid w:val="003D59A1"/>
    <w:rsid w:val="00411AF6"/>
    <w:rsid w:val="00506F4D"/>
    <w:rsid w:val="005A502B"/>
    <w:rsid w:val="00691C2C"/>
    <w:rsid w:val="008564F4"/>
    <w:rsid w:val="009D184D"/>
    <w:rsid w:val="00A553A6"/>
    <w:rsid w:val="00C852C1"/>
    <w:rsid w:val="00D72D1D"/>
    <w:rsid w:val="00E55810"/>
    <w:rsid w:val="00F10D31"/>
    <w:rsid w:val="00F21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64D78"/>
  <w15:chartTrackingRefBased/>
  <w15:docId w15:val="{9E4E5FDD-9F30-4A35-81B3-CB49E699B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179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2179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2179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2179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2179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2179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2179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179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2179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179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2179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2179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2179D"/>
    <w:rPr>
      <w:rFonts w:cstheme="majorBidi"/>
      <w:color w:val="2F5496" w:themeColor="accent1" w:themeShade="BF"/>
      <w:sz w:val="28"/>
      <w:szCs w:val="28"/>
    </w:rPr>
  </w:style>
  <w:style w:type="character" w:customStyle="1" w:styleId="50">
    <w:name w:val="标题 5 字符"/>
    <w:basedOn w:val="a0"/>
    <w:link w:val="5"/>
    <w:uiPriority w:val="9"/>
    <w:semiHidden/>
    <w:rsid w:val="00F2179D"/>
    <w:rPr>
      <w:rFonts w:cstheme="majorBidi"/>
      <w:color w:val="2F5496" w:themeColor="accent1" w:themeShade="BF"/>
      <w:sz w:val="24"/>
    </w:rPr>
  </w:style>
  <w:style w:type="character" w:customStyle="1" w:styleId="60">
    <w:name w:val="标题 6 字符"/>
    <w:basedOn w:val="a0"/>
    <w:link w:val="6"/>
    <w:uiPriority w:val="9"/>
    <w:semiHidden/>
    <w:rsid w:val="00F2179D"/>
    <w:rPr>
      <w:rFonts w:cstheme="majorBidi"/>
      <w:b/>
      <w:bCs/>
      <w:color w:val="2F5496" w:themeColor="accent1" w:themeShade="BF"/>
    </w:rPr>
  </w:style>
  <w:style w:type="character" w:customStyle="1" w:styleId="70">
    <w:name w:val="标题 7 字符"/>
    <w:basedOn w:val="a0"/>
    <w:link w:val="7"/>
    <w:uiPriority w:val="9"/>
    <w:semiHidden/>
    <w:rsid w:val="00F2179D"/>
    <w:rPr>
      <w:rFonts w:cstheme="majorBidi"/>
      <w:b/>
      <w:bCs/>
      <w:color w:val="595959" w:themeColor="text1" w:themeTint="A6"/>
    </w:rPr>
  </w:style>
  <w:style w:type="character" w:customStyle="1" w:styleId="80">
    <w:name w:val="标题 8 字符"/>
    <w:basedOn w:val="a0"/>
    <w:link w:val="8"/>
    <w:uiPriority w:val="9"/>
    <w:semiHidden/>
    <w:rsid w:val="00F2179D"/>
    <w:rPr>
      <w:rFonts w:cstheme="majorBidi"/>
      <w:color w:val="595959" w:themeColor="text1" w:themeTint="A6"/>
    </w:rPr>
  </w:style>
  <w:style w:type="character" w:customStyle="1" w:styleId="90">
    <w:name w:val="标题 9 字符"/>
    <w:basedOn w:val="a0"/>
    <w:link w:val="9"/>
    <w:uiPriority w:val="9"/>
    <w:semiHidden/>
    <w:rsid w:val="00F2179D"/>
    <w:rPr>
      <w:rFonts w:eastAsiaTheme="majorEastAsia" w:cstheme="majorBidi"/>
      <w:color w:val="595959" w:themeColor="text1" w:themeTint="A6"/>
    </w:rPr>
  </w:style>
  <w:style w:type="paragraph" w:styleId="a3">
    <w:name w:val="Title"/>
    <w:basedOn w:val="a"/>
    <w:next w:val="a"/>
    <w:link w:val="a4"/>
    <w:uiPriority w:val="10"/>
    <w:qFormat/>
    <w:rsid w:val="00F217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17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7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17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179D"/>
    <w:pPr>
      <w:spacing w:before="160"/>
      <w:jc w:val="center"/>
    </w:pPr>
    <w:rPr>
      <w:i/>
      <w:iCs/>
      <w:color w:val="404040" w:themeColor="text1" w:themeTint="BF"/>
    </w:rPr>
  </w:style>
  <w:style w:type="character" w:customStyle="1" w:styleId="a8">
    <w:name w:val="引用 字符"/>
    <w:basedOn w:val="a0"/>
    <w:link w:val="a7"/>
    <w:uiPriority w:val="29"/>
    <w:rsid w:val="00F2179D"/>
    <w:rPr>
      <w:i/>
      <w:iCs/>
      <w:color w:val="404040" w:themeColor="text1" w:themeTint="BF"/>
    </w:rPr>
  </w:style>
  <w:style w:type="paragraph" w:styleId="a9">
    <w:name w:val="List Paragraph"/>
    <w:basedOn w:val="a"/>
    <w:uiPriority w:val="34"/>
    <w:qFormat/>
    <w:rsid w:val="00F2179D"/>
    <w:pPr>
      <w:ind w:left="720"/>
      <w:contextualSpacing/>
    </w:pPr>
  </w:style>
  <w:style w:type="character" w:styleId="aa">
    <w:name w:val="Intense Emphasis"/>
    <w:basedOn w:val="a0"/>
    <w:uiPriority w:val="21"/>
    <w:qFormat/>
    <w:rsid w:val="00F2179D"/>
    <w:rPr>
      <w:i/>
      <w:iCs/>
      <w:color w:val="2F5496" w:themeColor="accent1" w:themeShade="BF"/>
    </w:rPr>
  </w:style>
  <w:style w:type="paragraph" w:styleId="ab">
    <w:name w:val="Intense Quote"/>
    <w:basedOn w:val="a"/>
    <w:next w:val="a"/>
    <w:link w:val="ac"/>
    <w:uiPriority w:val="30"/>
    <w:qFormat/>
    <w:rsid w:val="00F217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2179D"/>
    <w:rPr>
      <w:i/>
      <w:iCs/>
      <w:color w:val="2F5496" w:themeColor="accent1" w:themeShade="BF"/>
    </w:rPr>
  </w:style>
  <w:style w:type="character" w:styleId="ad">
    <w:name w:val="Intense Reference"/>
    <w:basedOn w:val="a0"/>
    <w:uiPriority w:val="32"/>
    <w:qFormat/>
    <w:rsid w:val="00F2179D"/>
    <w:rPr>
      <w:b/>
      <w:bCs/>
      <w:smallCaps/>
      <w:color w:val="2F5496" w:themeColor="accent1" w:themeShade="BF"/>
      <w:spacing w:val="5"/>
    </w:rPr>
  </w:style>
  <w:style w:type="character" w:styleId="ae">
    <w:name w:val="Hyperlink"/>
    <w:basedOn w:val="a0"/>
    <w:uiPriority w:val="99"/>
    <w:unhideWhenUsed/>
    <w:rsid w:val="00E55810"/>
    <w:rPr>
      <w:color w:val="0563C1" w:themeColor="hyperlink"/>
      <w:u w:val="single"/>
    </w:rPr>
  </w:style>
  <w:style w:type="character" w:styleId="af">
    <w:name w:val="Unresolved Mention"/>
    <w:basedOn w:val="a0"/>
    <w:uiPriority w:val="99"/>
    <w:semiHidden/>
    <w:unhideWhenUsed/>
    <w:rsid w:val="00E55810"/>
    <w:rPr>
      <w:color w:val="605E5C"/>
      <w:shd w:val="clear" w:color="auto" w:fill="E1DFDD"/>
    </w:rPr>
  </w:style>
  <w:style w:type="character" w:styleId="af0">
    <w:name w:val="Placeholder Text"/>
    <w:basedOn w:val="a0"/>
    <w:uiPriority w:val="99"/>
    <w:semiHidden/>
    <w:rsid w:val="00D72D1D"/>
    <w:rPr>
      <w:color w:val="666666"/>
    </w:rPr>
  </w:style>
  <w:style w:type="character" w:styleId="af1">
    <w:name w:val="annotation reference"/>
    <w:basedOn w:val="a0"/>
    <w:uiPriority w:val="99"/>
    <w:semiHidden/>
    <w:unhideWhenUsed/>
    <w:rsid w:val="00D72D1D"/>
    <w:rPr>
      <w:sz w:val="21"/>
      <w:szCs w:val="21"/>
    </w:rPr>
  </w:style>
  <w:style w:type="paragraph" w:styleId="af2">
    <w:name w:val="annotation text"/>
    <w:basedOn w:val="a"/>
    <w:link w:val="af3"/>
    <w:uiPriority w:val="99"/>
    <w:unhideWhenUsed/>
    <w:rsid w:val="00D72D1D"/>
  </w:style>
  <w:style w:type="character" w:customStyle="1" w:styleId="af3">
    <w:name w:val="批注文字 字符"/>
    <w:basedOn w:val="a0"/>
    <w:link w:val="af2"/>
    <w:uiPriority w:val="99"/>
    <w:rsid w:val="00D72D1D"/>
  </w:style>
  <w:style w:type="paragraph" w:styleId="af4">
    <w:name w:val="annotation subject"/>
    <w:basedOn w:val="af2"/>
    <w:next w:val="af2"/>
    <w:link w:val="af5"/>
    <w:uiPriority w:val="99"/>
    <w:semiHidden/>
    <w:unhideWhenUsed/>
    <w:rsid w:val="00D72D1D"/>
    <w:rPr>
      <w:b/>
      <w:bCs/>
    </w:rPr>
  </w:style>
  <w:style w:type="character" w:customStyle="1" w:styleId="af5">
    <w:name w:val="批注主题 字符"/>
    <w:basedOn w:val="af3"/>
    <w:link w:val="af4"/>
    <w:uiPriority w:val="99"/>
    <w:semiHidden/>
    <w:rsid w:val="00D72D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omments" Target="comments.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ieeexplore.ieee.org/document/1104463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arxiv.org/abs/2503.20313" TargetMode="External"/><Relationship Id="rId15" Type="http://schemas.microsoft.com/office/2018/08/relationships/commentsExtensible" Target="commentsExtensible.xml"/><Relationship Id="rId10" Type="http://schemas.openxmlformats.org/officeDocument/2006/relationships/hyperlink" Target="https://ieeexplore.ieee.org/document/11044589" TargetMode="Externa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4.png"/><Relationship Id="rId14"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9</Pages>
  <Words>1053</Words>
  <Characters>6008</Characters>
  <Application>Microsoft Office Word</Application>
  <DocSecurity>0</DocSecurity>
  <Lines>50</Lines>
  <Paragraphs>14</Paragraphs>
  <ScaleCrop>false</ScaleCrop>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荣烨 凌</dc:creator>
  <cp:keywords/>
  <dc:description/>
  <cp:lastModifiedBy>荣烨 凌</cp:lastModifiedBy>
  <cp:revision>1</cp:revision>
  <dcterms:created xsi:type="dcterms:W3CDTF">2025-10-20T13:32:00Z</dcterms:created>
  <dcterms:modified xsi:type="dcterms:W3CDTF">2025-10-20T16:45:00Z</dcterms:modified>
</cp:coreProperties>
</file>