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06A7A" w14:textId="77777777" w:rsidR="0063089D" w:rsidRPr="001522F5" w:rsidRDefault="0054196A">
      <w:pPr>
        <w:rPr>
          <w:rFonts w:ascii="Gandhari Unicode" w:hAnsi="Gandhari Unicode"/>
          <w:sz w:val="30"/>
          <w:szCs w:val="30"/>
        </w:rPr>
      </w:pPr>
      <w:r w:rsidRPr="001522F5">
        <w:rPr>
          <w:rFonts w:ascii="Gandhari Unicode" w:hAnsi="Gandhari Unicode"/>
          <w:sz w:val="30"/>
          <w:szCs w:val="30"/>
        </w:rPr>
        <w:t>002</w:t>
      </w:r>
    </w:p>
    <w:p w14:paraId="7A91CF04" w14:textId="77777777" w:rsidR="0054196A" w:rsidRPr="001522F5" w:rsidRDefault="0054196A">
      <w:pPr>
        <w:rPr>
          <w:rFonts w:ascii="Gandhari Unicode" w:hAnsi="Gandhari Unicode"/>
          <w:sz w:val="30"/>
          <w:szCs w:val="30"/>
        </w:rPr>
      </w:pPr>
    </w:p>
    <w:p w14:paraId="46BFC0AB" w14:textId="5EEA1481" w:rsidR="0054196A" w:rsidRPr="001522F5" w:rsidRDefault="0054196A">
      <w:pPr>
        <w:rPr>
          <w:rFonts w:ascii="Gandhari Unicode" w:hAnsi="Gandhari Unicode" w:cs="Gandhari Unicode"/>
          <w:color w:val="FF0000"/>
          <w:sz w:val="30"/>
          <w:szCs w:val="30"/>
        </w:rPr>
      </w:pPr>
      <w:proofErr w:type="spellStart"/>
      <w:r w:rsidRPr="007D5B92">
        <w:rPr>
          <w:rFonts w:ascii="Gandhari Unicode" w:hAnsi="Gandhari Unicode" w:cs="Gandhari Unicode"/>
          <w:sz w:val="30"/>
          <w:szCs w:val="30"/>
        </w:rPr>
        <w:t>ḅaṁḥ</w:t>
      </w:r>
      <w:proofErr w:type="spellEnd"/>
      <w:r w:rsidRPr="007D5B92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7D5B92">
        <w:rPr>
          <w:rFonts w:ascii="Gandhari Unicode" w:hAnsi="Gandhari Unicode" w:cs="Gandhari Unicode"/>
          <w:sz w:val="30"/>
          <w:szCs w:val="30"/>
        </w:rPr>
        <w:t>va</w:t>
      </w:r>
      <w:proofErr w:type="spellEnd"/>
      <w:r w:rsidRPr="007D5B92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7D5B92">
        <w:rPr>
          <w:rFonts w:ascii="Gandhari Unicode" w:hAnsi="Gandhari Unicode" w:cs="Gandhari Unicode"/>
          <w:sz w:val="30"/>
          <w:szCs w:val="30"/>
        </w:rPr>
        <w:t>ḅaṁḥ</w:t>
      </w:r>
      <w:proofErr w:type="spellEnd"/>
      <w:r w:rsidRPr="007D5B92">
        <w:rPr>
          <w:rFonts w:ascii="Gandhari Unicode" w:hAnsi="Gandhari Unicode" w:cs="Gandhari Unicode"/>
          <w:sz w:val="30"/>
          <w:szCs w:val="30"/>
        </w:rPr>
        <w:t xml:space="preserve"> </w:t>
      </w:r>
      <w:r w:rsidRPr="007D5B92">
        <w:rPr>
          <w:rFonts w:ascii="Gandhari Unicode" w:hAnsi="Gandhari Unicode" w:cs="Gandhari Unicode"/>
          <w:sz w:val="30"/>
          <w:szCs w:val="30"/>
          <w:vertAlign w:val="subscript"/>
        </w:rPr>
        <w:t>1</w:t>
      </w:r>
      <w:r w:rsidR="008B2C02" w:rsidRPr="007D5B92">
        <w:rPr>
          <w:rFonts w:ascii="Gandhari Unicode" w:hAnsi="Gandhari Unicode" w:cs="Gandhari Unicode"/>
          <w:color w:val="FF0000"/>
          <w:sz w:val="30"/>
          <w:szCs w:val="30"/>
        </w:rPr>
        <w:t>rma</w:t>
      </w:r>
      <w:r w:rsidRPr="007D5B92">
        <w:rPr>
          <w:rFonts w:ascii="Gandhari Unicode" w:hAnsi="Gandhari Unicode" w:cs="Gandhari Unicode"/>
          <w:sz w:val="30"/>
          <w:szCs w:val="30"/>
        </w:rPr>
        <w:t xml:space="preserve">ḥ </w:t>
      </w:r>
      <w:r w:rsidR="00FE083C" w:rsidRPr="007D5B92">
        <w:rPr>
          <w:rFonts w:ascii="Gandhari Unicode" w:hAnsi="Gandhari Unicode" w:cs="Gandhari Unicode"/>
          <w:sz w:val="30"/>
          <w:szCs w:val="30"/>
          <w:vertAlign w:val="subscript"/>
        </w:rPr>
        <w:t>2</w:t>
      </w:r>
      <w:r w:rsidRPr="007D5B92">
        <w:rPr>
          <w:rFonts w:ascii="Gandhari Unicode" w:hAnsi="Gandhari Unicode" w:cs="Gandhari Unicode"/>
          <w:sz w:val="30"/>
          <w:szCs w:val="30"/>
        </w:rPr>
        <w:t xml:space="preserve">tḅaḥ </w:t>
      </w:r>
      <w:proofErr w:type="spellStart"/>
      <w:r w:rsidRPr="007D5B92">
        <w:rPr>
          <w:rFonts w:ascii="Gandhari Unicode" w:hAnsi="Gandhari Unicode" w:cs="Gandhari Unicode"/>
          <w:sz w:val="30"/>
          <w:szCs w:val="30"/>
        </w:rPr>
        <w:t>saṁḥ</w:t>
      </w:r>
      <w:proofErr w:type="spellEnd"/>
      <w:r w:rsidRPr="007D5B92">
        <w:rPr>
          <w:rFonts w:ascii="Gandhari Unicode" w:hAnsi="Gandhari Unicode" w:cs="Gandhari Unicode"/>
          <w:sz w:val="30"/>
          <w:szCs w:val="30"/>
        </w:rPr>
        <w:t xml:space="preserve"> to </w:t>
      </w:r>
      <w:proofErr w:type="spellStart"/>
      <w:r w:rsidRPr="007D5B92">
        <w:rPr>
          <w:rFonts w:ascii="Gandhari Unicode" w:hAnsi="Gandhari Unicode" w:cs="Gandhari Unicode"/>
          <w:sz w:val="30"/>
          <w:szCs w:val="30"/>
        </w:rPr>
        <w:t>tḅaṁḥ</w:t>
      </w:r>
      <w:proofErr w:type="spellEnd"/>
      <w:r w:rsidRPr="007D5B92">
        <w:rPr>
          <w:rFonts w:ascii="Gandhari Unicode" w:hAnsi="Gandhari Unicode" w:cs="Gandhari Unicode"/>
          <w:sz w:val="30"/>
          <w:szCs w:val="30"/>
        </w:rPr>
        <w:t xml:space="preserve"> ta</w:t>
      </w:r>
      <w:r w:rsidRPr="007D5B92">
        <w:rPr>
          <w:rFonts w:ascii="Gandhari Unicode" w:hAnsi="Gandhari Unicode" w:cs="Gandhari Unicode"/>
          <w:color w:val="FF0000"/>
          <w:sz w:val="30"/>
          <w:szCs w:val="30"/>
        </w:rPr>
        <w:t xml:space="preserve"> </w:t>
      </w:r>
      <w:r w:rsidR="00FE083C" w:rsidRPr="007D5B92">
        <w:rPr>
          <w:rFonts w:ascii="Gandhari Unicode" w:hAnsi="Gandhari Unicode" w:cs="Gandhari Unicode"/>
          <w:sz w:val="30"/>
          <w:szCs w:val="30"/>
          <w:vertAlign w:val="subscript"/>
        </w:rPr>
        <w:t>3</w:t>
      </w:r>
      <w:r w:rsidR="00567FDD" w:rsidRPr="007D5B92">
        <w:rPr>
          <w:rFonts w:ascii="Gandhari Unicode" w:hAnsi="Gandhari Unicode" w:cs="Gandhari Unicode"/>
          <w:sz w:val="30"/>
          <w:szCs w:val="30"/>
        </w:rPr>
        <w:t>[</w:t>
      </w:r>
      <w:r w:rsidRPr="007D5B92">
        <w:rPr>
          <w:rFonts w:ascii="Gandhari Unicode" w:hAnsi="Gandhari Unicode" w:cs="Gandhari Unicode"/>
          <w:sz w:val="30"/>
          <w:szCs w:val="30"/>
        </w:rPr>
        <w:t>ḅ</w:t>
      </w:r>
      <w:r w:rsidR="00567FDD" w:rsidRPr="007D5B92">
        <w:rPr>
          <w:rFonts w:ascii="Gandhari Unicode" w:hAnsi="Gandhari Unicode" w:cs="Gandhari Unicode"/>
          <w:sz w:val="30"/>
          <w:szCs w:val="30"/>
        </w:rPr>
        <w:t>]</w:t>
      </w:r>
      <w:r w:rsidRPr="007D5B92">
        <w:rPr>
          <w:rFonts w:ascii="Gandhari Unicode" w:hAnsi="Gandhari Unicode" w:cs="Gandhari Unicode"/>
          <w:sz w:val="30"/>
          <w:szCs w:val="30"/>
        </w:rPr>
        <w:t>a hi</w:t>
      </w:r>
    </w:p>
    <w:p w14:paraId="454F2F78" w14:textId="77777777" w:rsidR="0054196A" w:rsidRPr="001522F5" w:rsidRDefault="0054196A">
      <w:pPr>
        <w:rPr>
          <w:rFonts w:ascii="Gandhari Unicode" w:hAnsi="Gandhari Unicode" w:cs="Gandhari Unicode"/>
          <w:color w:val="FF0000"/>
          <w:sz w:val="30"/>
          <w:szCs w:val="30"/>
        </w:rPr>
      </w:pPr>
    </w:p>
    <w:p w14:paraId="09DCF626" w14:textId="1489BB63" w:rsidR="00CE56D1" w:rsidRDefault="0054196A">
      <w:pPr>
        <w:rPr>
          <w:rFonts w:ascii="Gandhari Unicode" w:hAnsi="Gandhari Unicode"/>
          <w:color w:val="000000" w:themeColor="text1"/>
          <w:sz w:val="30"/>
          <w:szCs w:val="30"/>
        </w:rPr>
      </w:pPr>
      <w:r w:rsidRPr="001522F5">
        <w:rPr>
          <w:rFonts w:ascii="Gandhari Unicode" w:hAnsi="Gandhari Unicode"/>
          <w:sz w:val="30"/>
          <w:szCs w:val="30"/>
          <w:vertAlign w:val="superscript"/>
        </w:rPr>
        <w:t>1</w:t>
      </w:r>
      <w:r w:rsidRPr="001522F5">
        <w:rPr>
          <w:rFonts w:ascii="Gandhari Unicode" w:hAnsi="Gandhari Unicode"/>
          <w:sz w:val="30"/>
          <w:szCs w:val="30"/>
        </w:rPr>
        <w:t xml:space="preserve"> </w:t>
      </w:r>
      <w:proofErr w:type="spellStart"/>
      <w:r w:rsidRPr="001522F5">
        <w:rPr>
          <w:rFonts w:ascii="Gandhari Unicode" w:hAnsi="Gandhari Unicode"/>
          <w:sz w:val="30"/>
          <w:szCs w:val="30"/>
        </w:rPr>
        <w:t>Sastri</w:t>
      </w:r>
      <w:proofErr w:type="spellEnd"/>
      <w:r w:rsidRPr="001522F5">
        <w:rPr>
          <w:rFonts w:ascii="Gandhari Unicode" w:hAnsi="Gandhari Unicode"/>
          <w:sz w:val="30"/>
          <w:szCs w:val="30"/>
        </w:rPr>
        <w:t xml:space="preserve"> (</w:t>
      </w:r>
      <w:r w:rsidRPr="001522F5">
        <w:rPr>
          <w:rFonts w:ascii="Gandhari Unicode" w:eastAsia="Times New Roman" w:hAnsi="Gandhari Unicode" w:cs="Times New Roman"/>
          <w:color w:val="000000" w:themeColor="text1"/>
          <w:sz w:val="30"/>
          <w:szCs w:val="30"/>
        </w:rPr>
        <w:t xml:space="preserve">ASB 1914-15, 21-23) </w:t>
      </w:r>
      <w:r w:rsidR="00567FDD">
        <w:rPr>
          <w:rFonts w:ascii="Gandhari Unicode" w:eastAsia="Times New Roman" w:hAnsi="Gandhari Unicode" w:cs="Times New Roman"/>
          <w:color w:val="000000" w:themeColor="text1"/>
          <w:sz w:val="30"/>
          <w:szCs w:val="30"/>
        </w:rPr>
        <w:t xml:space="preserve">also </w:t>
      </w:r>
      <w:r w:rsidRPr="001522F5">
        <w:rPr>
          <w:rFonts w:ascii="Gandhari Unicode" w:hAnsi="Gandhari Unicode"/>
          <w:sz w:val="30"/>
          <w:szCs w:val="30"/>
        </w:rPr>
        <w:t>recognizes th</w:t>
      </w:r>
      <w:r w:rsidR="00567FDD">
        <w:rPr>
          <w:rFonts w:ascii="Gandhari Unicode" w:hAnsi="Gandhari Unicode"/>
          <w:sz w:val="30"/>
          <w:szCs w:val="30"/>
        </w:rPr>
        <w:t>e possibility of a prescript &lt;r</w:t>
      </w:r>
      <w:r w:rsidRPr="001522F5">
        <w:rPr>
          <w:rFonts w:ascii="Gandhari Unicode" w:hAnsi="Gandhari Unicode"/>
          <w:sz w:val="30"/>
          <w:szCs w:val="30"/>
        </w:rPr>
        <w:t>&gt;</w:t>
      </w:r>
      <w:r w:rsidR="00CE56D1" w:rsidRPr="001522F5">
        <w:rPr>
          <w:rFonts w:ascii="Gandhari Unicode" w:hAnsi="Gandhari Unicode"/>
          <w:sz w:val="30"/>
          <w:szCs w:val="30"/>
        </w:rPr>
        <w:t>. Luce (</w:t>
      </w:r>
      <w:r w:rsidR="00CE56D1" w:rsidRPr="001522F5">
        <w:rPr>
          <w:rFonts w:ascii="Gandhari Unicode" w:eastAsia="Times New Roman" w:hAnsi="Gandhari Unicode" w:cs="Times New Roman"/>
          <w:sz w:val="30"/>
          <w:szCs w:val="30"/>
        </w:rPr>
        <w:t>PPPB I, 75 n.)</w:t>
      </w:r>
      <w:r w:rsidR="00567FDD">
        <w:rPr>
          <w:rFonts w:ascii="Gandhari Unicode" w:hAnsi="Gandhari Unicode"/>
          <w:sz w:val="30"/>
          <w:szCs w:val="30"/>
        </w:rPr>
        <w:t xml:space="preserve"> reads </w:t>
      </w:r>
      <w:proofErr w:type="spellStart"/>
      <w:r w:rsidR="00CE56D1" w:rsidRPr="00567FDD">
        <w:rPr>
          <w:rFonts w:ascii="Gandhari Unicode" w:hAnsi="Gandhari Unicode"/>
          <w:i/>
          <w:sz w:val="30"/>
          <w:szCs w:val="30"/>
        </w:rPr>
        <w:t>me</w:t>
      </w:r>
      <w:r w:rsidR="001522F5" w:rsidRPr="00567FDD">
        <w:rPr>
          <w:rFonts w:ascii="Gandhari Unicode" w:hAnsi="Gandhari Unicode" w:cs="Gandhari Unicode"/>
          <w:i/>
          <w:sz w:val="30"/>
          <w:szCs w:val="30"/>
        </w:rPr>
        <w:t>ḥ</w:t>
      </w:r>
      <w:proofErr w:type="spellEnd"/>
      <w:r w:rsidR="00CE56D1" w:rsidRPr="001522F5">
        <w:rPr>
          <w:rFonts w:ascii="Gandhari Unicode" w:hAnsi="Gandhari Unicode"/>
          <w:sz w:val="30"/>
          <w:szCs w:val="30"/>
        </w:rPr>
        <w:t xml:space="preserve">, firming up </w:t>
      </w:r>
      <w:proofErr w:type="spellStart"/>
      <w:r w:rsidR="00CE56D1" w:rsidRPr="001522F5">
        <w:rPr>
          <w:rFonts w:ascii="Gandhari Unicode" w:hAnsi="Gandhari Unicode"/>
          <w:sz w:val="30"/>
          <w:szCs w:val="30"/>
        </w:rPr>
        <w:t>Blagden’s</w:t>
      </w:r>
      <w:proofErr w:type="spellEnd"/>
      <w:r w:rsidR="00CE56D1" w:rsidRPr="001522F5">
        <w:rPr>
          <w:rFonts w:ascii="Gandhari Unicode" w:hAnsi="Gandhari Unicode"/>
          <w:sz w:val="30"/>
          <w:szCs w:val="30"/>
        </w:rPr>
        <w:t xml:space="preserve"> </w:t>
      </w:r>
      <w:proofErr w:type="gramStart"/>
      <w:r w:rsidR="00CE56D1" w:rsidRPr="00567FDD">
        <w:rPr>
          <w:rFonts w:ascii="Gandhari Unicode" w:hAnsi="Gandhari Unicode"/>
          <w:i/>
          <w:sz w:val="30"/>
          <w:szCs w:val="30"/>
        </w:rPr>
        <w:t>m(</w:t>
      </w:r>
      <w:proofErr w:type="gramEnd"/>
      <w:r w:rsidR="00CE56D1" w:rsidRPr="00567FDD">
        <w:rPr>
          <w:rFonts w:ascii="Gandhari Unicode" w:hAnsi="Gandhari Unicode"/>
          <w:i/>
          <w:sz w:val="30"/>
          <w:szCs w:val="30"/>
        </w:rPr>
        <w:t>e)</w:t>
      </w:r>
      <w:r w:rsidR="001522F5" w:rsidRPr="00567FDD">
        <w:rPr>
          <w:rFonts w:ascii="Gandhari Unicode" w:hAnsi="Gandhari Unicode" w:cs="Gandhari Unicode"/>
          <w:i/>
          <w:sz w:val="30"/>
          <w:szCs w:val="30"/>
        </w:rPr>
        <w:t>ḥ</w:t>
      </w:r>
      <w:r w:rsidR="00CE56D1" w:rsidRPr="001522F5">
        <w:rPr>
          <w:rFonts w:ascii="Gandhari Unicode" w:hAnsi="Gandhari Unicode"/>
          <w:sz w:val="30"/>
          <w:szCs w:val="30"/>
        </w:rPr>
        <w:t xml:space="preserve"> (</w:t>
      </w:r>
      <w:r w:rsidR="00CE56D1" w:rsidRPr="001522F5">
        <w:rPr>
          <w:rFonts w:ascii="Gandhari Unicode" w:hAnsi="Gandhari Unicode"/>
          <w:color w:val="000000" w:themeColor="text1"/>
          <w:sz w:val="30"/>
          <w:szCs w:val="30"/>
        </w:rPr>
        <w:t xml:space="preserve">ASB 1915, 21-23). </w:t>
      </w:r>
    </w:p>
    <w:p w14:paraId="0DB9A20F" w14:textId="77777777" w:rsidR="00FE083C" w:rsidRDefault="00FE083C">
      <w:pPr>
        <w:rPr>
          <w:rFonts w:ascii="Gandhari Unicode" w:hAnsi="Gandhari Unicode"/>
          <w:color w:val="000000" w:themeColor="text1"/>
          <w:sz w:val="30"/>
          <w:szCs w:val="30"/>
        </w:rPr>
      </w:pPr>
    </w:p>
    <w:p w14:paraId="258AE175" w14:textId="10C0F004" w:rsidR="00FE083C" w:rsidRDefault="00FE083C">
      <w:pPr>
        <w:rPr>
          <w:rFonts w:ascii="Gandhari Unicode" w:hAnsi="Gandhari Unicode"/>
          <w:color w:val="000000" w:themeColor="text1"/>
          <w:sz w:val="30"/>
          <w:szCs w:val="30"/>
        </w:rPr>
      </w:pPr>
      <w:r w:rsidRPr="00FE083C">
        <w:rPr>
          <w:rFonts w:ascii="Gandhari Unicode" w:hAnsi="Gandhari Unicode" w:cs="Gandhari Unicode"/>
          <w:sz w:val="30"/>
          <w:szCs w:val="30"/>
          <w:vertAlign w:val="superscript"/>
        </w:rPr>
        <w:t xml:space="preserve">2 </w:t>
      </w:r>
      <w:proofErr w:type="spellStart"/>
      <w:r w:rsidRPr="00FE083C">
        <w:rPr>
          <w:rFonts w:ascii="Gandhari Unicode" w:hAnsi="Gandhari Unicode" w:cs="Gandhari Unicode"/>
          <w:i/>
          <w:sz w:val="30"/>
          <w:szCs w:val="30"/>
        </w:rPr>
        <w:t>tḅaḥ</w:t>
      </w:r>
      <w:proofErr w:type="spellEnd"/>
      <w:r w:rsidR="00C26176">
        <w:rPr>
          <w:rFonts w:ascii="Gandhari Unicode" w:hAnsi="Gandhari Unicode" w:cs="Gandhari Unicode"/>
          <w:sz w:val="30"/>
          <w:szCs w:val="30"/>
        </w:rPr>
        <w:t xml:space="preserve">, </w:t>
      </w:r>
      <w:bookmarkStart w:id="0" w:name="_GoBack"/>
      <w:bookmarkEnd w:id="0"/>
      <w:proofErr w:type="spellStart"/>
      <w:r w:rsidRPr="00FE083C">
        <w:rPr>
          <w:rFonts w:ascii="Gandhari Unicode" w:hAnsi="Gandhari Unicode" w:cs="Gandhari Unicode"/>
          <w:i/>
          <w:sz w:val="30"/>
          <w:szCs w:val="30"/>
        </w:rPr>
        <w:t>tḅaṁḥ</w:t>
      </w:r>
      <w:proofErr w:type="spellEnd"/>
      <w:r w:rsidR="00683D4C">
        <w:rPr>
          <w:rFonts w:ascii="Gandhari Unicode" w:hAnsi="Gandhari Unicode" w:cs="Gandhari Unicode"/>
          <w:i/>
          <w:sz w:val="30"/>
          <w:szCs w:val="30"/>
        </w:rPr>
        <w:t xml:space="preserve"> and </w:t>
      </w:r>
      <w:proofErr w:type="spellStart"/>
      <w:r w:rsidR="00683D4C" w:rsidRPr="00683D4C">
        <w:rPr>
          <w:rFonts w:ascii="Gandhari Unicode" w:hAnsi="Gandhari Unicode" w:cs="Gandhari Unicode"/>
          <w:i/>
          <w:sz w:val="30"/>
          <w:szCs w:val="30"/>
        </w:rPr>
        <w:t>ḅaṁḥ</w:t>
      </w:r>
      <w:proofErr w:type="spellEnd"/>
      <w:r w:rsidR="00683D4C">
        <w:rPr>
          <w:rFonts w:ascii="Gandhari Unicode" w:hAnsi="Gandhari Unicode" w:cs="Gandhari Unicode"/>
          <w:sz w:val="30"/>
          <w:szCs w:val="30"/>
        </w:rPr>
        <w:t>: possibly morphologically connected.</w:t>
      </w:r>
    </w:p>
    <w:p w14:paraId="7CDBC453" w14:textId="77777777" w:rsidR="0054196A" w:rsidRPr="001522F5" w:rsidRDefault="0054196A">
      <w:pPr>
        <w:rPr>
          <w:rFonts w:ascii="Gandhari Unicode" w:hAnsi="Gandhari Unicode"/>
          <w:sz w:val="30"/>
          <w:szCs w:val="30"/>
        </w:rPr>
      </w:pPr>
    </w:p>
    <w:p w14:paraId="1607B105" w14:textId="2EDEAB31" w:rsidR="0054196A" w:rsidRDefault="00FE083C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/>
          <w:sz w:val="30"/>
          <w:szCs w:val="30"/>
          <w:vertAlign w:val="superscript"/>
        </w:rPr>
        <w:t>3</w:t>
      </w:r>
      <w:r w:rsidR="001E68CF" w:rsidRPr="001522F5">
        <w:rPr>
          <w:rFonts w:ascii="Gandhari Unicode" w:hAnsi="Gandhari Unicode"/>
          <w:sz w:val="30"/>
          <w:szCs w:val="30"/>
        </w:rPr>
        <w:t xml:space="preserve"> </w:t>
      </w:r>
      <w:proofErr w:type="spellStart"/>
      <w:r w:rsidR="0054196A" w:rsidRPr="00567FDD">
        <w:rPr>
          <w:rFonts w:ascii="Gandhari Unicode" w:hAnsi="Gandhari Unicode" w:cs="Gandhari Unicode"/>
          <w:i/>
          <w:sz w:val="30"/>
          <w:szCs w:val="30"/>
        </w:rPr>
        <w:t>ḅa</w:t>
      </w:r>
      <w:proofErr w:type="spellEnd"/>
      <w:r w:rsidR="0054196A" w:rsidRPr="00567FDD">
        <w:rPr>
          <w:rFonts w:ascii="Gandhari Unicode" w:hAnsi="Gandhari Unicode" w:cs="Gandhari Unicode"/>
          <w:i/>
          <w:sz w:val="30"/>
          <w:szCs w:val="30"/>
        </w:rPr>
        <w:t xml:space="preserve"> hi</w:t>
      </w:r>
      <w:r w:rsidR="0054196A" w:rsidRPr="001522F5">
        <w:rPr>
          <w:rFonts w:ascii="Gandhari Unicode" w:hAnsi="Gandhari Unicode" w:cs="Gandhari Unicode"/>
          <w:sz w:val="30"/>
          <w:szCs w:val="30"/>
        </w:rPr>
        <w:t xml:space="preserve"> also in PYU001.</w:t>
      </w:r>
    </w:p>
    <w:p w14:paraId="16019EBC" w14:textId="77777777" w:rsidR="00FE083C" w:rsidRDefault="00FE083C">
      <w:pPr>
        <w:rPr>
          <w:rFonts w:ascii="Gandhari Unicode" w:hAnsi="Gandhari Unicode" w:cs="Gandhari Unicode"/>
          <w:sz w:val="30"/>
          <w:szCs w:val="30"/>
        </w:rPr>
      </w:pPr>
    </w:p>
    <w:p w14:paraId="57335A27" w14:textId="3F240598" w:rsidR="00FE083C" w:rsidRDefault="00FE083C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sz w:val="30"/>
          <w:szCs w:val="30"/>
        </w:rPr>
        <w:t>Translations:</w:t>
      </w:r>
    </w:p>
    <w:p w14:paraId="68166B6C" w14:textId="77777777" w:rsidR="00FE083C" w:rsidRDefault="00FE083C">
      <w:pPr>
        <w:rPr>
          <w:rFonts w:ascii="Gandhari Unicode" w:hAnsi="Gandhari Unicode" w:cs="Gandhari Unicode"/>
          <w:sz w:val="30"/>
          <w:szCs w:val="30"/>
        </w:rPr>
      </w:pPr>
    </w:p>
    <w:p w14:paraId="63F77F9E" w14:textId="2D54BBBC" w:rsidR="00FE083C" w:rsidRPr="001522F5" w:rsidRDefault="00FE083C">
      <w:pPr>
        <w:rPr>
          <w:rFonts w:ascii="Gandhari Unicode" w:hAnsi="Gandhari Unicode"/>
          <w:sz w:val="30"/>
          <w:szCs w:val="30"/>
          <w:vertAlign w:val="superscript"/>
        </w:rPr>
      </w:pPr>
    </w:p>
    <w:sectPr w:rsidR="00FE083C" w:rsidRPr="001522F5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6A"/>
    <w:rsid w:val="001522F5"/>
    <w:rsid w:val="001E68CF"/>
    <w:rsid w:val="0054196A"/>
    <w:rsid w:val="005503BC"/>
    <w:rsid w:val="00550FBF"/>
    <w:rsid w:val="00567FDD"/>
    <w:rsid w:val="0063089D"/>
    <w:rsid w:val="00683D4C"/>
    <w:rsid w:val="007D5B92"/>
    <w:rsid w:val="008B2C02"/>
    <w:rsid w:val="00C26176"/>
    <w:rsid w:val="00CE56D1"/>
    <w:rsid w:val="00DA5C89"/>
    <w:rsid w:val="00E93ED3"/>
    <w:rsid w:val="00ED2716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CAE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9</cp:revision>
  <dcterms:created xsi:type="dcterms:W3CDTF">2015-10-31T17:18:00Z</dcterms:created>
  <dcterms:modified xsi:type="dcterms:W3CDTF">2015-12-07T23:22:00Z</dcterms:modified>
</cp:coreProperties>
</file>