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12C48671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266F78">
        <w:rPr>
          <w:sz w:val="96"/>
          <w:szCs w:val="96"/>
        </w:rPr>
        <w:t>1</w:t>
      </w:r>
      <w:r w:rsidR="00A21D03">
        <w:rPr>
          <w:sz w:val="96"/>
          <w:szCs w:val="96"/>
        </w:rPr>
        <w:t>1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p w14:paraId="6DE8A1F7" w14:textId="75246100" w:rsidR="005677E4" w:rsidRDefault="005677E4" w:rsidP="005677E4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 xml:space="preserve">roblem </w:t>
      </w:r>
      <w:r w:rsidR="009F585C">
        <w:rPr>
          <w:lang w:eastAsia="zh-CN"/>
        </w:rPr>
        <w:t>1</w:t>
      </w:r>
    </w:p>
    <w:p w14:paraId="0742AC25" w14:textId="3B12C459" w:rsidR="005677E4" w:rsidRDefault="00F10327" w:rsidP="0083048C">
      <w:pPr>
        <w:pStyle w:val="4"/>
        <w:rPr>
          <w:lang w:eastAsia="zh-CN"/>
        </w:rPr>
      </w:pPr>
      <w:r>
        <w:rPr>
          <w:rFonts w:hint="eastAsia"/>
          <w:lang w:eastAsia="zh-CN"/>
        </w:rPr>
        <w:t>1</w:t>
      </w:r>
    </w:p>
    <w:p w14:paraId="2D39FE1D" w14:textId="0C600B6B" w:rsidR="003F45EC" w:rsidRDefault="00B51DC4" w:rsidP="009F585C">
      <w:pPr>
        <w:rPr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Degree</m:t>
          </m:r>
          <m:r>
            <w:rPr>
              <w:rFonts w:ascii="Cambria Math" w:hAnsi="Cambria Math"/>
              <w:lang w:eastAsia="zh-CN"/>
            </w:rPr>
            <m:t xml:space="preserve"> of Operating </m:t>
          </m:r>
          <m:r>
            <w:rPr>
              <w:rFonts w:ascii="Cambria Math" w:hAnsi="Cambria Math"/>
              <w:lang w:eastAsia="zh-CN"/>
            </w:rPr>
            <m:t>L</m:t>
          </m:r>
          <m:r>
            <w:rPr>
              <w:rFonts w:ascii="Cambria Math" w:hAnsi="Cambria Math"/>
              <w:lang w:eastAsia="zh-CN"/>
            </w:rPr>
            <m:t>everage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Quantity×(Price-Variable Cost)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Quantity×(Price-Variable Cost)</m:t>
              </m:r>
              <m:r>
                <w:rPr>
                  <w:rFonts w:ascii="Cambria Math" w:hAnsi="Cambria Math"/>
                  <w:lang w:eastAsia="zh-CN"/>
                </w:rPr>
                <m:t>-Fixed Cost</m:t>
              </m:r>
            </m:den>
          </m:f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9</m:t>
              </m:r>
              <m:r>
                <w:rPr>
                  <w:rFonts w:ascii="Cambria Math" w:hAnsi="Cambria Math"/>
                  <w:lang w:eastAsia="zh-CN"/>
                </w:rPr>
                <m:t>00</m:t>
              </m:r>
              <m:r>
                <w:rPr>
                  <w:rFonts w:ascii="Cambria Math" w:hAnsi="Cambria Math"/>
                  <w:lang w:eastAsia="zh-CN"/>
                </w:rPr>
                <m:t>000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w:rPr>
                  <w:rFonts w:ascii="Cambria Math" w:hAnsi="Cambria Math"/>
                  <w:lang w:eastAsia="zh-CN"/>
                </w:rPr>
                <m:t>00000</m:t>
              </m:r>
            </m:den>
          </m:f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2.25</m:t>
          </m:r>
        </m:oMath>
      </m:oMathPara>
    </w:p>
    <w:p w14:paraId="30349BA2" w14:textId="77777777" w:rsidR="003F45EC" w:rsidRDefault="003F45EC" w:rsidP="00FA2480">
      <w:pPr>
        <w:rPr>
          <w:lang w:eastAsia="zh-CN"/>
        </w:rPr>
      </w:pPr>
    </w:p>
    <w:p w14:paraId="4FA323AE" w14:textId="3D52F9D2" w:rsidR="00402EB1" w:rsidRDefault="00402EB1" w:rsidP="00C82FF8">
      <w:pPr>
        <w:rPr>
          <w:lang w:eastAsia="zh-CN"/>
        </w:rPr>
      </w:pPr>
    </w:p>
    <w:p w14:paraId="1A64C508" w14:textId="26E796A1" w:rsidR="001137E4" w:rsidRDefault="001137E4" w:rsidP="00860995">
      <w:pPr>
        <w:pStyle w:val="4"/>
        <w:rPr>
          <w:lang w:eastAsia="zh-CN"/>
        </w:rPr>
      </w:pPr>
      <w:r>
        <w:rPr>
          <w:rFonts w:hint="eastAsia"/>
          <w:lang w:eastAsia="zh-CN"/>
        </w:rPr>
        <w:t>2</w:t>
      </w:r>
    </w:p>
    <w:p w14:paraId="6E919F22" w14:textId="10610FD2" w:rsidR="00860995" w:rsidRDefault="00860995" w:rsidP="00860995">
      <w:pPr>
        <w:rPr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Degree</m:t>
          </m:r>
          <m:r>
            <w:rPr>
              <w:rFonts w:ascii="Cambria Math" w:hAnsi="Cambria Math"/>
              <w:lang w:eastAsia="zh-CN"/>
            </w:rPr>
            <m:t xml:space="preserve"> of </m:t>
          </m:r>
          <m:r>
            <w:rPr>
              <w:rFonts w:ascii="Cambria Math" w:hAnsi="Cambria Math"/>
              <w:lang w:eastAsia="zh-CN"/>
            </w:rPr>
            <m:t>Financial</m:t>
          </m:r>
          <m: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L</m:t>
          </m:r>
          <m:r>
            <w:rPr>
              <w:rFonts w:ascii="Cambria Math" w:hAnsi="Cambria Math"/>
              <w:lang w:eastAsia="zh-CN"/>
            </w:rPr>
            <m:t>everage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EBIT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EBIT</m:t>
              </m:r>
              <m: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Interest</m:t>
              </m:r>
            </m:den>
          </m:f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w:rPr>
                  <w:rFonts w:ascii="Cambria Math" w:hAnsi="Cambria Math"/>
                  <w:lang w:eastAsia="zh-CN"/>
                </w:rPr>
                <m:t>00000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  <m:r>
                <w:rPr>
                  <w:rFonts w:ascii="Cambria Math" w:hAnsi="Cambria Math"/>
                  <w:lang w:eastAsia="zh-CN"/>
                </w:rPr>
                <m:t>00000</m:t>
              </m:r>
              <m: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200000</m:t>
              </m:r>
            </m:den>
          </m:f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=2</m:t>
          </m:r>
        </m:oMath>
      </m:oMathPara>
    </w:p>
    <w:p w14:paraId="44044273" w14:textId="77777777" w:rsidR="00860995" w:rsidRDefault="00860995" w:rsidP="00860995">
      <w:pPr>
        <w:rPr>
          <w:lang w:eastAsia="zh-CN"/>
        </w:rPr>
      </w:pPr>
    </w:p>
    <w:p w14:paraId="06DB8A34" w14:textId="77777777" w:rsidR="003273C3" w:rsidRDefault="003273C3" w:rsidP="00860995">
      <w:pPr>
        <w:rPr>
          <w:lang w:eastAsia="zh-CN"/>
        </w:rPr>
      </w:pPr>
    </w:p>
    <w:p w14:paraId="6BBE0E15" w14:textId="752F2CEB" w:rsidR="003273C3" w:rsidRDefault="003273C3" w:rsidP="003273C3">
      <w:pPr>
        <w:pStyle w:val="4"/>
        <w:rPr>
          <w:lang w:eastAsia="zh-CN"/>
        </w:rPr>
      </w:pPr>
      <w:r>
        <w:rPr>
          <w:rFonts w:hint="eastAsia"/>
          <w:lang w:eastAsia="zh-CN"/>
        </w:rPr>
        <w:t>3</w:t>
      </w:r>
    </w:p>
    <w:p w14:paraId="00F73184" w14:textId="6E48167F" w:rsidR="00A04E1D" w:rsidRPr="00CF747F" w:rsidRDefault="00A04E1D" w:rsidP="00A04E1D">
      <w:pPr>
        <w:rPr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Degree</m:t>
          </m:r>
          <m:r>
            <w:rPr>
              <w:rFonts w:ascii="Cambria Math" w:hAnsi="Cambria Math"/>
              <w:lang w:eastAsia="zh-CN"/>
            </w:rPr>
            <m:t xml:space="preserve"> of </m:t>
          </m:r>
          <m:r>
            <w:rPr>
              <w:rFonts w:ascii="Cambria Math" w:hAnsi="Cambria Math"/>
              <w:lang w:eastAsia="zh-CN"/>
            </w:rPr>
            <m:t>Combined</m:t>
          </m:r>
          <m: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L</m:t>
          </m:r>
          <m:r>
            <w:rPr>
              <w:rFonts w:ascii="Cambria Math" w:hAnsi="Cambria Math"/>
              <w:lang w:eastAsia="zh-CN"/>
            </w:rPr>
            <m:t>everage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EBIT</m:t>
              </m:r>
              <m:r>
                <w:rPr>
                  <w:rFonts w:ascii="Cambria Math" w:hAnsi="Cambria Math"/>
                  <w:lang w:eastAsia="zh-CN"/>
                </w:rPr>
                <m:t>+Fixed Cost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EBIT-Interest</m:t>
              </m:r>
            </m:den>
          </m:f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hAnsi="Cambria Math"/>
              <w:lang w:eastAsia="zh-CN"/>
            </w:rPr>
            <m:t>2.25×2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=4.5</m:t>
          </m:r>
        </m:oMath>
      </m:oMathPara>
    </w:p>
    <w:p w14:paraId="05D8D524" w14:textId="77777777" w:rsidR="00CF747F" w:rsidRDefault="00CF747F" w:rsidP="00A04E1D">
      <w:pPr>
        <w:rPr>
          <w:lang w:eastAsia="zh-CN"/>
        </w:rPr>
      </w:pPr>
    </w:p>
    <w:p w14:paraId="37A28FCF" w14:textId="77777777" w:rsidR="00CF747F" w:rsidRDefault="00CF747F" w:rsidP="00A04E1D">
      <w:pPr>
        <w:rPr>
          <w:lang w:eastAsia="zh-CN"/>
        </w:rPr>
      </w:pPr>
    </w:p>
    <w:p w14:paraId="61E5C8F0" w14:textId="475A9533" w:rsidR="00CF747F" w:rsidRDefault="00CF747F" w:rsidP="00CF747F">
      <w:pPr>
        <w:pStyle w:val="4"/>
        <w:rPr>
          <w:lang w:eastAsia="zh-CN"/>
        </w:rPr>
      </w:pPr>
      <w:r>
        <w:rPr>
          <w:rFonts w:hint="eastAsia"/>
          <w:lang w:eastAsia="zh-CN"/>
        </w:rPr>
        <w:t>4</w:t>
      </w:r>
    </w:p>
    <w:p w14:paraId="2E10A1A4" w14:textId="7A208EDA" w:rsidR="00892F63" w:rsidRDefault="00F84209" w:rsidP="00892F63">
      <w:pPr>
        <w:rPr>
          <w:rFonts w:asciiTheme="majorHAnsi" w:eastAsiaTheme="majorEastAsia" w:hAnsiTheme="majorHAnsi" w:cstheme="majorBidi"/>
          <w:vertAlign w:val="subscript"/>
          <w:lang w:eastAsia="zh-CN"/>
        </w:rPr>
      </w:pPr>
      <m:oMathPara>
        <m:oMath>
          <m:r>
            <w:rPr>
              <w:rFonts w:ascii="Cambria Math" w:hAnsi="Cambria Math"/>
              <w:vertAlign w:val="subscript"/>
              <w:lang w:eastAsia="zh-CN"/>
            </w:rPr>
            <m:t>Break‐Even point</m:t>
          </m:r>
          <m:r>
            <w:rPr>
              <w:rFonts w:ascii="Cambria Math" w:hAnsi="Cambria Math"/>
              <w:vertAlign w:val="subscript"/>
              <w:lang w:eastAsia="zh-CN"/>
            </w:rPr>
            <m:t xml:space="preserve"> in units</m:t>
          </m:r>
          <m:r>
            <m:rPr>
              <m:aln/>
            </m:rPr>
            <w:rPr>
              <w:rFonts w:ascii="Cambria Math" w:hAnsi="Cambria Math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eastAsia="zh-CN"/>
                </w:rPr>
                <m:t>Fixed Cost</m:t>
              </m:r>
            </m:num>
            <m:den>
              <m:r>
                <w:rPr>
                  <w:rFonts w:ascii="Cambria Math" w:hAnsi="Cambria Math"/>
                  <w:vertAlign w:val="subscript"/>
                  <w:lang w:eastAsia="zh-CN"/>
                </w:rPr>
                <m:t>Price</m:t>
              </m:r>
              <m:r>
                <w:rPr>
                  <w:rFonts w:ascii="Cambria Math" w:hAnsi="Cambria Math"/>
                  <w:vertAlign w:val="subscript"/>
                  <w:lang w:eastAsia="zh-CN"/>
                </w:rPr>
                <m:t xml:space="preserve"> per unit</m:t>
              </m:r>
              <m:r>
                <w:rPr>
                  <w:rFonts w:ascii="Cambria Math" w:hAnsi="Cambria Math"/>
                  <w:vertAlign w:val="subscript"/>
                  <w:lang w:eastAsia="zh-CN"/>
                </w:rPr>
                <m:t>-Varia</m:t>
              </m:r>
              <m:r>
                <w:rPr>
                  <w:rFonts w:ascii="Cambria Math" w:hAnsi="Cambria Math"/>
                  <w:vertAlign w:val="subscript"/>
                  <w:lang w:eastAsia="zh-CN"/>
                </w:rPr>
                <m:t>ble Cost per unit</m:t>
              </m:r>
            </m:den>
          </m:f>
          <m:r>
            <w:rPr>
              <w:rFonts w:ascii="Cambria Math" w:hAnsi="Cambria Math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5</m:t>
              </m:r>
              <m:r>
                <w:rPr>
                  <w:rFonts w:ascii="Cambria Math" w:hAnsi="Cambria Math"/>
                  <w:lang w:eastAsia="zh-CN"/>
                </w:rPr>
                <m:t>00000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15</m:t>
              </m:r>
              <m:r>
                <w:rPr>
                  <w:rFonts w:ascii="Cambria Math" w:hAnsi="Cambria Math"/>
                  <w:lang w:eastAsia="zh-CN"/>
                </w:rPr>
                <m:t>-</m:t>
              </m:r>
              <m:r>
                <w:rPr>
                  <w:rFonts w:ascii="Cambria Math" w:hAnsi="Cambria Math"/>
                  <w:lang w:eastAsia="zh-CN"/>
                </w:rPr>
                <m:t>6</m:t>
              </m:r>
            </m:den>
          </m:f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vertAlign w:val="subscript"/>
              <w:lang w:eastAsia="zh-CN"/>
            </w:rPr>
            <m:t>=</m:t>
          </m:r>
          <m:r>
            <w:rPr>
              <w:rFonts w:ascii="Cambria Math" w:hAnsi="Cambria Math"/>
              <w:vertAlign w:val="subscript"/>
              <w:lang w:eastAsia="zh-CN"/>
            </w:rPr>
            <m:t>55555.56</m:t>
          </m:r>
          <m:r>
            <w:rPr>
              <w:rFonts w:ascii="Cambria Math" w:hAnsi="Cambria Math"/>
              <w:vertAlign w:val="subscript"/>
              <w:lang w:eastAsia="zh-CN"/>
            </w:rPr>
            <m:t xml:space="preserve"> units</m:t>
          </m:r>
          <m:r>
            <w:rPr>
              <w:rFonts w:ascii="Cambria Math" w:hAnsi="Cambria Math"/>
              <w:vertAlign w:val="subscript"/>
              <w:lang w:eastAsia="zh-CN"/>
            </w:rPr>
            <w:br/>
          </m:r>
        </m:oMath>
        <m:oMath>
          <m:r>
            <w:rPr>
              <w:rFonts w:ascii="Cambria Math" w:hAnsi="Cambria Math"/>
              <w:vertAlign w:val="subscript"/>
              <w:lang w:eastAsia="zh-CN"/>
            </w:rPr>
            <m:t xml:space="preserve">Break‐Even point in </m:t>
          </m:r>
          <m:r>
            <w:rPr>
              <w:rFonts w:ascii="Cambria Math" w:hAnsi="Cambria Math"/>
              <w:vertAlign w:val="subscript"/>
              <w:lang w:eastAsia="zh-CN"/>
            </w:rPr>
            <m:t>dollar</m:t>
          </m:r>
          <m:r>
            <w:rPr>
              <w:rFonts w:ascii="Cambria Math" w:hAnsi="Cambria Math"/>
              <w:vertAlign w:val="subscript"/>
              <w:lang w:eastAsia="zh-CN"/>
            </w:rPr>
            <m:t>s</m:t>
          </m:r>
          <m:r>
            <m:rPr>
              <m:aln/>
            </m:rPr>
            <w:rPr>
              <w:rFonts w:ascii="Cambria Math" w:hAnsi="Cambria Math"/>
              <w:vertAlign w:val="subscript"/>
              <w:lang w:eastAsia="zh-CN"/>
            </w:rPr>
            <m:t>=</m:t>
          </m:r>
          <m:r>
            <w:rPr>
              <w:rFonts w:ascii="Cambria Math" w:hAnsi="Cambria Math"/>
              <w:vertAlign w:val="subscript"/>
              <w:lang w:eastAsia="zh-CN"/>
            </w:rPr>
            <m:t>55555.56</m:t>
          </m:r>
          <m:r>
            <w:rPr>
              <w:rFonts w:ascii="Cambria Math" w:hAnsi="Cambria Math"/>
              <w:vertAlign w:val="subscript"/>
              <w:lang w:eastAsia="zh-CN"/>
            </w:rPr>
            <m:t>×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15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=$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833333.33</m:t>
          </m:r>
        </m:oMath>
      </m:oMathPara>
    </w:p>
    <w:p w14:paraId="4E152D64" w14:textId="77777777" w:rsidR="00892F63" w:rsidRDefault="00892F63">
      <w:pPr>
        <w:spacing w:after="160" w:line="259" w:lineRule="auto"/>
        <w:rPr>
          <w:rFonts w:asciiTheme="majorHAnsi" w:eastAsiaTheme="majorEastAsia" w:hAnsiTheme="majorHAnsi" w:cstheme="majorBidi"/>
          <w:vertAlign w:val="subscript"/>
          <w:lang w:eastAsia="zh-CN"/>
        </w:rPr>
      </w:pPr>
      <w:r>
        <w:rPr>
          <w:rFonts w:asciiTheme="majorHAnsi" w:eastAsiaTheme="majorEastAsia" w:hAnsiTheme="majorHAnsi" w:cstheme="majorBidi"/>
          <w:vertAlign w:val="subscript"/>
          <w:lang w:eastAsia="zh-CN"/>
        </w:rPr>
        <w:br w:type="page"/>
      </w:r>
    </w:p>
    <w:p w14:paraId="19BCA06B" w14:textId="275AA08A" w:rsidR="00892F63" w:rsidRDefault="00892F63" w:rsidP="00892F6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 xml:space="preserve">roblem </w:t>
      </w:r>
      <w:r>
        <w:rPr>
          <w:lang w:eastAsia="zh-CN"/>
        </w:rPr>
        <w:t>2</w:t>
      </w:r>
    </w:p>
    <w:p w14:paraId="7462E20A" w14:textId="77777777" w:rsidR="00892F63" w:rsidRDefault="00892F63" w:rsidP="00892F63">
      <w:pPr>
        <w:pStyle w:val="4"/>
        <w:rPr>
          <w:lang w:eastAsia="zh-CN"/>
        </w:rPr>
      </w:pPr>
      <w:r>
        <w:rPr>
          <w:rFonts w:hint="eastAsia"/>
          <w:lang w:eastAsia="zh-CN"/>
        </w:rPr>
        <w:t>1</w:t>
      </w:r>
    </w:p>
    <w:p w14:paraId="52A1443B" w14:textId="130960BF" w:rsidR="0031546D" w:rsidRPr="0031546D" w:rsidRDefault="00516B67" w:rsidP="0031546D">
      <w:pPr>
        <w:rPr>
          <w:rFonts w:asciiTheme="majorHAnsi" w:eastAsiaTheme="majorEastAsia" w:hAnsiTheme="majorHAnsi" w:cstheme="majorBidi"/>
          <w:vertAlign w:val="subscript"/>
          <w:lang w:eastAsia="zh-CN"/>
        </w:rPr>
      </w:pPr>
      <m:oMathPara>
        <m:oMath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EOQ</m:t>
          </m:r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vertAlign w:val="subscript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2×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Annual Sales in units×Ordering Cost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Carr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y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ing Cost per units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vertAlign w:val="subscript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2×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75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000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1.2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0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=500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 xml:space="preserve"> units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Number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 xml:space="preserve"> of Orders</m:t>
          </m:r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Sales</m:t>
              </m:r>
            </m:num>
            <m:den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EOQ</m:t>
              </m:r>
            </m:den>
          </m:f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75000</m:t>
              </m:r>
            </m:num>
            <m:den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500</m:t>
              </m:r>
            </m:den>
          </m:f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150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Average Inventory</m:t>
          </m:r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EOQ</m:t>
              </m:r>
            </m:num>
            <m:den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=250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 xml:space="preserve"> 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units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Total Cost</m:t>
          </m:r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Average Inventory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×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Carrying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 xml:space="preserve"> Cost per 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unit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+Ordering Cost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×Number of Orders per year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250×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1.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2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+2×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150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$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600</m:t>
          </m:r>
        </m:oMath>
      </m:oMathPara>
    </w:p>
    <w:p w14:paraId="56F9D5A0" w14:textId="77777777" w:rsidR="0031546D" w:rsidRDefault="0031546D" w:rsidP="0031546D">
      <w:pPr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</w:p>
    <w:p w14:paraId="17F44665" w14:textId="77777777" w:rsidR="0031546D" w:rsidRDefault="0031546D" w:rsidP="0031546D">
      <w:pPr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</w:p>
    <w:p w14:paraId="67B4E1FE" w14:textId="49853FFA" w:rsidR="00E43703" w:rsidRPr="0031546D" w:rsidRDefault="0031546D" w:rsidP="0031546D">
      <w:pPr>
        <w:pStyle w:val="4"/>
        <w:rPr>
          <w:lang w:eastAsia="zh-CN"/>
        </w:rPr>
      </w:pPr>
      <w:r>
        <w:rPr>
          <w:rFonts w:hint="eastAsia"/>
          <w:lang w:eastAsia="zh-CN"/>
        </w:rPr>
        <w:t>2</w:t>
      </w:r>
    </w:p>
    <w:p w14:paraId="2DC93E7D" w14:textId="40695666" w:rsidR="0031546D" w:rsidRDefault="00E43703" w:rsidP="00CF747F">
      <w:pPr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  <w:r w:rsidRPr="00E43703">
        <w:rPr>
          <w:rFonts w:asciiTheme="majorHAnsi" w:eastAsiaTheme="majorEastAsia" w:hAnsiTheme="majorHAnsi" w:cstheme="majorBidi"/>
          <w:sz w:val="28"/>
          <w:szCs w:val="28"/>
          <w:lang w:eastAsia="zh-CN"/>
        </w:rPr>
        <w:t>The</w:t>
      </w:r>
      <w:r>
        <w:rPr>
          <w:rFonts w:asciiTheme="majorHAnsi" w:eastAsiaTheme="majorEastAsia" w:hAnsiTheme="majorHAnsi" w:cstheme="majorBidi"/>
          <w:sz w:val="28"/>
          <w:szCs w:val="28"/>
          <w:lang w:eastAsia="zh-CN"/>
        </w:rPr>
        <w:t xml:space="preserve"> decre</w:t>
      </w:r>
      <w:r w:rsidR="001E2EB2">
        <w:rPr>
          <w:rFonts w:asciiTheme="majorHAnsi" w:eastAsiaTheme="majorEastAsia" w:hAnsiTheme="majorHAnsi" w:cstheme="majorBidi"/>
          <w:sz w:val="28"/>
          <w:szCs w:val="28"/>
          <w:lang w:eastAsia="zh-CN"/>
        </w:rPr>
        <w:t>a</w:t>
      </w:r>
      <w:r>
        <w:rPr>
          <w:rFonts w:asciiTheme="majorHAnsi" w:eastAsiaTheme="majorEastAsia" w:hAnsiTheme="majorHAnsi" w:cstheme="majorBidi"/>
          <w:sz w:val="28"/>
          <w:szCs w:val="28"/>
          <w:lang w:eastAsia="zh-CN"/>
        </w:rPr>
        <w:t xml:space="preserve">se of the order cost results in </w:t>
      </w:r>
      <w:r w:rsidR="00F210DB">
        <w:rPr>
          <w:rFonts w:asciiTheme="majorHAnsi" w:eastAsiaTheme="majorEastAsia" w:hAnsiTheme="majorHAnsi" w:cstheme="majorBidi"/>
          <w:sz w:val="28"/>
          <w:szCs w:val="28"/>
          <w:lang w:eastAsia="zh-CN"/>
        </w:rPr>
        <w:t>a</w:t>
      </w:r>
      <w:r w:rsidR="004D6515">
        <w:rPr>
          <w:rFonts w:asciiTheme="majorHAnsi" w:eastAsiaTheme="majorEastAsia" w:hAnsiTheme="majorHAnsi" w:cstheme="majorBidi"/>
          <w:sz w:val="28"/>
          <w:szCs w:val="28"/>
          <w:lang w:eastAsia="zh-CN"/>
        </w:rPr>
        <w:t>n incre</w:t>
      </w:r>
      <w:r w:rsidR="001E2EB2">
        <w:rPr>
          <w:rFonts w:asciiTheme="majorHAnsi" w:eastAsiaTheme="majorEastAsia" w:hAnsiTheme="majorHAnsi" w:cstheme="majorBidi"/>
          <w:sz w:val="28"/>
          <w:szCs w:val="28"/>
          <w:lang w:eastAsia="zh-CN"/>
        </w:rPr>
        <w:t>a</w:t>
      </w:r>
      <w:r w:rsidR="004D6515">
        <w:rPr>
          <w:rFonts w:asciiTheme="majorHAnsi" w:eastAsiaTheme="majorEastAsia" w:hAnsiTheme="majorHAnsi" w:cstheme="majorBidi"/>
          <w:sz w:val="28"/>
          <w:szCs w:val="28"/>
          <w:lang w:eastAsia="zh-CN"/>
        </w:rPr>
        <w:t>se</w:t>
      </w:r>
      <w:r w:rsidR="003162D0">
        <w:rPr>
          <w:rFonts w:asciiTheme="majorHAnsi" w:eastAsiaTheme="majorEastAsia" w:hAnsiTheme="majorHAnsi" w:cstheme="majorBidi"/>
          <w:sz w:val="28"/>
          <w:szCs w:val="28"/>
          <w:lang w:eastAsia="zh-CN"/>
        </w:rPr>
        <w:t xml:space="preserve"> of number of orders</w:t>
      </w:r>
      <w:r w:rsidR="00934FC7">
        <w:rPr>
          <w:rFonts w:asciiTheme="majorHAnsi" w:eastAsiaTheme="majorEastAsia" w:hAnsiTheme="majorHAnsi" w:cstheme="majorBidi"/>
          <w:sz w:val="28"/>
          <w:szCs w:val="28"/>
          <w:lang w:eastAsia="zh-CN"/>
        </w:rPr>
        <w:t xml:space="preserve">. Therefore the carring cost in total </w:t>
      </w:r>
      <w:r w:rsidR="00D87FA7">
        <w:rPr>
          <w:rFonts w:asciiTheme="majorHAnsi" w:eastAsiaTheme="majorEastAsia" w:hAnsiTheme="majorHAnsi" w:cstheme="majorBidi"/>
          <w:sz w:val="28"/>
          <w:szCs w:val="28"/>
          <w:lang w:eastAsia="zh-CN"/>
        </w:rPr>
        <w:t xml:space="preserve">increases. As long as </w:t>
      </w:r>
      <w:r w:rsidR="000A5614">
        <w:rPr>
          <w:rFonts w:asciiTheme="majorHAnsi" w:eastAsiaTheme="majorEastAsia" w:hAnsiTheme="majorHAnsi" w:cstheme="majorBidi"/>
          <w:sz w:val="28"/>
          <w:szCs w:val="28"/>
          <w:lang w:eastAsia="zh-CN"/>
        </w:rPr>
        <w:t>the carring cost</w:t>
      </w:r>
      <w:r w:rsidR="00D87FA7">
        <w:rPr>
          <w:rFonts w:asciiTheme="majorHAnsi" w:eastAsiaTheme="majorEastAsia" w:hAnsiTheme="majorHAnsi" w:cstheme="majorBidi"/>
          <w:sz w:val="28"/>
          <w:szCs w:val="28"/>
          <w:lang w:eastAsia="zh-CN"/>
        </w:rPr>
        <w:t xml:space="preserve"> increase</w:t>
      </w:r>
      <w:r w:rsidR="00A51416">
        <w:rPr>
          <w:rFonts w:asciiTheme="majorHAnsi" w:eastAsiaTheme="majorEastAsia" w:hAnsiTheme="majorHAnsi" w:cstheme="majorBidi"/>
          <w:sz w:val="28"/>
          <w:szCs w:val="28"/>
          <w:lang w:eastAsia="zh-CN"/>
        </w:rPr>
        <w:t>s</w:t>
      </w:r>
      <w:r w:rsidR="000A5614">
        <w:rPr>
          <w:rFonts w:asciiTheme="majorHAnsi" w:eastAsiaTheme="majorEastAsia" w:hAnsiTheme="majorHAnsi" w:cstheme="majorBidi"/>
          <w:sz w:val="28"/>
          <w:szCs w:val="28"/>
          <w:lang w:eastAsia="zh-CN"/>
        </w:rPr>
        <w:t xml:space="preserve"> slower than order</w:t>
      </w:r>
      <w:r w:rsidR="00D91DDE">
        <w:rPr>
          <w:rFonts w:asciiTheme="majorHAnsi" w:eastAsiaTheme="majorEastAsia" w:hAnsiTheme="majorHAnsi" w:cstheme="majorBidi"/>
          <w:sz w:val="28"/>
          <w:szCs w:val="28"/>
          <w:lang w:eastAsia="zh-CN"/>
        </w:rPr>
        <w:t xml:space="preserve">ing cost decreases, the total cost will </w:t>
      </w:r>
      <w:r w:rsidR="0031546D">
        <w:rPr>
          <w:rFonts w:asciiTheme="majorHAnsi" w:eastAsiaTheme="majorEastAsia" w:hAnsiTheme="majorHAnsi" w:cstheme="majorBidi"/>
          <w:sz w:val="28"/>
          <w:szCs w:val="28"/>
          <w:lang w:eastAsia="zh-CN"/>
        </w:rPr>
        <w:t>go down.</w:t>
      </w:r>
    </w:p>
    <w:p w14:paraId="24244CD1" w14:textId="77777777" w:rsidR="0031546D" w:rsidRDefault="0031546D">
      <w:pPr>
        <w:spacing w:after="160" w:line="259" w:lineRule="auto"/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  <w:r>
        <w:rPr>
          <w:rFonts w:asciiTheme="majorHAnsi" w:eastAsiaTheme="majorEastAsia" w:hAnsiTheme="majorHAnsi" w:cstheme="majorBidi"/>
          <w:sz w:val="28"/>
          <w:szCs w:val="28"/>
          <w:lang w:eastAsia="zh-CN"/>
        </w:rPr>
        <w:br w:type="page"/>
      </w:r>
    </w:p>
    <w:p w14:paraId="749285EE" w14:textId="141C70B7" w:rsidR="002E3CDB" w:rsidRDefault="002E3CDB" w:rsidP="002E3CDB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 xml:space="preserve">roblem </w:t>
      </w:r>
      <w:r>
        <w:rPr>
          <w:lang w:eastAsia="zh-CN"/>
        </w:rPr>
        <w:t>3</w:t>
      </w:r>
    </w:p>
    <w:p w14:paraId="3428F479" w14:textId="77777777" w:rsidR="002E3CDB" w:rsidRDefault="002E3CDB" w:rsidP="002E3CDB">
      <w:pPr>
        <w:pStyle w:val="4"/>
        <w:rPr>
          <w:lang w:eastAsia="zh-CN"/>
        </w:rPr>
      </w:pPr>
      <w:r>
        <w:rPr>
          <w:rFonts w:hint="eastAsia"/>
          <w:lang w:eastAsia="zh-CN"/>
        </w:rPr>
        <w:t>1</w:t>
      </w:r>
    </w:p>
    <w:p w14:paraId="18AD036E" w14:textId="1D530C96" w:rsidR="000845F3" w:rsidRPr="001C0738" w:rsidRDefault="002E3CDB" w:rsidP="002E3CDB">
      <w:pPr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  <m:oMathPara>
        <m:oMath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EOQ</m:t>
          </m:r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vertAlign w:val="subscript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2×Annual Sales in units×Ordering Cost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Carr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y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ing Cost per units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vertAlign w:val="subscript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2×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135000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×</m:t>
                  </m:r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vertAlign w:val="subscript"/>
                      <w:lang w:eastAsia="zh-CN"/>
                    </w:rPr>
                    <m:t>3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600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 xml:space="preserve"> units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</m:oMathPara>
    </w:p>
    <w:p w14:paraId="7CABBEC0" w14:textId="77777777" w:rsidR="001C0738" w:rsidRDefault="001C0738" w:rsidP="002E3CDB">
      <w:pPr>
        <w:rPr>
          <w:rFonts w:asciiTheme="majorHAnsi" w:eastAsiaTheme="majorEastAsia" w:hAnsiTheme="majorHAnsi" w:cstheme="majorBidi"/>
          <w:sz w:val="28"/>
          <w:szCs w:val="28"/>
          <w:lang w:eastAsia="zh-CN"/>
        </w:rPr>
      </w:pPr>
    </w:p>
    <w:p w14:paraId="7D2A8BFD" w14:textId="64496A16" w:rsidR="001C0738" w:rsidRDefault="001C0738" w:rsidP="001C0738">
      <w:pPr>
        <w:pStyle w:val="4"/>
        <w:rPr>
          <w:lang w:eastAsia="zh-CN"/>
        </w:rPr>
      </w:pPr>
      <w:r>
        <w:rPr>
          <w:rFonts w:hint="eastAsia"/>
          <w:lang w:eastAsia="zh-CN"/>
        </w:rPr>
        <w:t>2</w:t>
      </w:r>
    </w:p>
    <w:p w14:paraId="2530AF16" w14:textId="26DF86F6" w:rsidR="001C0738" w:rsidRPr="00683E75" w:rsidRDefault="001C0738" w:rsidP="001C0738">
      <w:pPr>
        <w:rPr>
          <w:lang w:eastAsia="zh-CN"/>
        </w:rPr>
      </w:pPr>
      <m:oMathPara>
        <m:oMath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Average Inventory</m:t>
          </m:r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EOQ</m:t>
              </m:r>
            </m:num>
            <m:den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30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0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 xml:space="preserve"> 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units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sty m:val="p"/>
            </m:rPr>
            <w:rPr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Total Carrying Cost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Average Inventory×Carrying Cost per unit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=300×</m:t>
          </m:r>
          <m:r>
            <w:rPr>
              <w:rFonts w:ascii="Cambria Math" w:hAnsi="Cambria Math"/>
              <w:lang w:eastAsia="zh-CN"/>
            </w:rPr>
            <m:t>3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=$900</m:t>
          </m:r>
        </m:oMath>
      </m:oMathPara>
    </w:p>
    <w:p w14:paraId="3D0CFCDF" w14:textId="77777777" w:rsidR="00683E75" w:rsidRDefault="00683E75" w:rsidP="001C0738">
      <w:pPr>
        <w:rPr>
          <w:lang w:eastAsia="zh-CN"/>
        </w:rPr>
      </w:pPr>
    </w:p>
    <w:p w14:paraId="1DA92E4D" w14:textId="77777777" w:rsidR="00683E75" w:rsidRDefault="00683E75" w:rsidP="001C0738">
      <w:pPr>
        <w:rPr>
          <w:lang w:eastAsia="zh-CN"/>
        </w:rPr>
      </w:pPr>
    </w:p>
    <w:p w14:paraId="2935C43D" w14:textId="2AB6CB25" w:rsidR="00683E75" w:rsidRDefault="00683E75" w:rsidP="00683E75">
      <w:pPr>
        <w:pStyle w:val="4"/>
        <w:rPr>
          <w:lang w:eastAsia="zh-CN"/>
        </w:rPr>
      </w:pPr>
      <w:r>
        <w:rPr>
          <w:lang w:eastAsia="zh-CN"/>
        </w:rPr>
        <w:t>3</w:t>
      </w:r>
    </w:p>
    <w:p w14:paraId="118B5482" w14:textId="4A3C3032" w:rsidR="00683E75" w:rsidRPr="001C0738" w:rsidRDefault="00683E75" w:rsidP="001C0738">
      <w:pPr>
        <w:rPr>
          <w:rFonts w:hint="eastAsia"/>
          <w:lang w:eastAsia="zh-CN"/>
        </w:rPr>
      </w:pPr>
      <m:oMathPara>
        <m:oMath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Average Inventory</m:t>
          </m:r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vertAlign w:val="subscript"/>
                  <w:lang w:eastAsia="zh-CN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EOQ</m:t>
              </m:r>
            </m:num>
            <m:den>
              <m:r>
                <w:rPr>
                  <w:rFonts w:ascii="Cambria Math" w:eastAsiaTheme="majorEastAsia" w:hAnsi="Cambria Math" w:cstheme="majorBidi"/>
                  <w:vertAlign w:val="subscript"/>
                  <w:lang w:eastAsia="zh-CN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+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S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afe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ty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 xml:space="preserve"> 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S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tock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  <w:vertAlign w:val="subscript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380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 xml:space="preserve"> units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r>
            <w:rPr>
              <w:rFonts w:ascii="Cambria Math" w:hAnsi="Cambria Math"/>
              <w:lang w:eastAsia="zh-CN"/>
            </w:rPr>
            <m:t>Total Carrying Cost</m:t>
          </m:r>
          <m:r>
            <m:rPr>
              <m:aln/>
            </m:rPr>
            <w:rPr>
              <w:rFonts w:ascii="Cambria Math" w:hAnsi="Cambria Math"/>
              <w:lang w:eastAsia="zh-CN"/>
            </w:rPr>
            <m:t>=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m:t>Average Inventory×Carrying Cost per unit</m:t>
          </m:r>
          <m:r>
            <w:rPr>
              <w:rFonts w:ascii="Cambria Math" w:eastAsiaTheme="majorEastAsia" w:hAnsi="Cambria Math" w:cstheme="majorBidi"/>
              <w:vertAlign w:val="subscript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=3</m:t>
          </m:r>
          <m:r>
            <w:rPr>
              <w:rFonts w:ascii="Cambria Math" w:hAnsi="Cambria Math"/>
              <w:lang w:eastAsia="zh-CN"/>
            </w:rPr>
            <m:t>8</m:t>
          </m:r>
          <m:r>
            <w:rPr>
              <w:rFonts w:ascii="Cambria Math" w:hAnsi="Cambria Math"/>
              <w:lang w:eastAsia="zh-CN"/>
            </w:rPr>
            <m:t>0×3</m:t>
          </m:r>
          <m:r>
            <w:rPr>
              <w:rFonts w:ascii="Cambria Math" w:hAnsi="Cambria Math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eastAsia="zh-CN"/>
            </w:rPr>
            <m:t>=$</m:t>
          </m:r>
          <m:r>
            <w:rPr>
              <w:rFonts w:ascii="Cambria Math" w:hAnsi="Cambria Math"/>
              <w:lang w:eastAsia="zh-CN"/>
            </w:rPr>
            <m:t>114</m:t>
          </m:r>
          <m:r>
            <w:rPr>
              <w:rFonts w:ascii="Cambria Math" w:hAnsi="Cambria Math"/>
              <w:lang w:eastAsia="zh-CN"/>
            </w:rPr>
            <m:t>0</m:t>
          </m:r>
        </m:oMath>
      </m:oMathPara>
    </w:p>
    <w:sectPr w:rsidR="00683E75" w:rsidRPr="001C0738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C7E0" w14:textId="77777777" w:rsidR="003C0F88" w:rsidRDefault="003C0F88" w:rsidP="00F15F68">
      <w:r>
        <w:separator/>
      </w:r>
    </w:p>
  </w:endnote>
  <w:endnote w:type="continuationSeparator" w:id="0">
    <w:p w14:paraId="284C30B4" w14:textId="77777777" w:rsidR="003C0F88" w:rsidRDefault="003C0F88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DFFA" w14:textId="77777777" w:rsidR="003C0F88" w:rsidRDefault="003C0F88" w:rsidP="00F15F68">
      <w:r>
        <w:separator/>
      </w:r>
    </w:p>
  </w:footnote>
  <w:footnote w:type="continuationSeparator" w:id="0">
    <w:p w14:paraId="216BC96D" w14:textId="77777777" w:rsidR="003C0F88" w:rsidRDefault="003C0F88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292826">
    <w:abstractNumId w:val="3"/>
  </w:num>
  <w:num w:numId="2" w16cid:durableId="721950403">
    <w:abstractNumId w:val="6"/>
  </w:num>
  <w:num w:numId="3" w16cid:durableId="1698651200">
    <w:abstractNumId w:val="4"/>
  </w:num>
  <w:num w:numId="4" w16cid:durableId="1774863595">
    <w:abstractNumId w:val="1"/>
  </w:num>
  <w:num w:numId="5" w16cid:durableId="80876954">
    <w:abstractNumId w:val="0"/>
  </w:num>
  <w:num w:numId="6" w16cid:durableId="492111838">
    <w:abstractNumId w:val="5"/>
  </w:num>
  <w:num w:numId="7" w16cid:durableId="1026760175">
    <w:abstractNumId w:val="2"/>
  </w:num>
  <w:num w:numId="8" w16cid:durableId="583996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0490A"/>
    <w:rsid w:val="000054F6"/>
    <w:rsid w:val="0001641E"/>
    <w:rsid w:val="000174FC"/>
    <w:rsid w:val="00020628"/>
    <w:rsid w:val="0002426C"/>
    <w:rsid w:val="00025AFF"/>
    <w:rsid w:val="00030AD0"/>
    <w:rsid w:val="00035974"/>
    <w:rsid w:val="00040968"/>
    <w:rsid w:val="000449AE"/>
    <w:rsid w:val="00064372"/>
    <w:rsid w:val="00064F14"/>
    <w:rsid w:val="000655C0"/>
    <w:rsid w:val="00071464"/>
    <w:rsid w:val="00075A03"/>
    <w:rsid w:val="000845F3"/>
    <w:rsid w:val="00084C38"/>
    <w:rsid w:val="0009139A"/>
    <w:rsid w:val="000A1BCF"/>
    <w:rsid w:val="000A5614"/>
    <w:rsid w:val="000A6BC6"/>
    <w:rsid w:val="000B0573"/>
    <w:rsid w:val="000B05F3"/>
    <w:rsid w:val="000B1B92"/>
    <w:rsid w:val="000B458F"/>
    <w:rsid w:val="000C0A86"/>
    <w:rsid w:val="000C28FF"/>
    <w:rsid w:val="000C2F70"/>
    <w:rsid w:val="000D2991"/>
    <w:rsid w:val="000D31DC"/>
    <w:rsid w:val="000E07B9"/>
    <w:rsid w:val="000E624C"/>
    <w:rsid w:val="000F2E83"/>
    <w:rsid w:val="0010115C"/>
    <w:rsid w:val="001137E4"/>
    <w:rsid w:val="001223B4"/>
    <w:rsid w:val="00123AEC"/>
    <w:rsid w:val="00135969"/>
    <w:rsid w:val="0014592F"/>
    <w:rsid w:val="00147513"/>
    <w:rsid w:val="00151C69"/>
    <w:rsid w:val="00152D7F"/>
    <w:rsid w:val="001608D6"/>
    <w:rsid w:val="00163A1C"/>
    <w:rsid w:val="0017192F"/>
    <w:rsid w:val="00175A79"/>
    <w:rsid w:val="0018072E"/>
    <w:rsid w:val="00180B94"/>
    <w:rsid w:val="00181662"/>
    <w:rsid w:val="00187F43"/>
    <w:rsid w:val="0019482A"/>
    <w:rsid w:val="001A3261"/>
    <w:rsid w:val="001A7E47"/>
    <w:rsid w:val="001B1F38"/>
    <w:rsid w:val="001B2B38"/>
    <w:rsid w:val="001B2EE3"/>
    <w:rsid w:val="001C0738"/>
    <w:rsid w:val="001D0E9D"/>
    <w:rsid w:val="001D4C7F"/>
    <w:rsid w:val="001D7567"/>
    <w:rsid w:val="001D76B7"/>
    <w:rsid w:val="001E1667"/>
    <w:rsid w:val="001E2EB2"/>
    <w:rsid w:val="001E6696"/>
    <w:rsid w:val="001F0406"/>
    <w:rsid w:val="001F5D4F"/>
    <w:rsid w:val="00204EF9"/>
    <w:rsid w:val="0021615F"/>
    <w:rsid w:val="002234F2"/>
    <w:rsid w:val="0022668C"/>
    <w:rsid w:val="00232E4E"/>
    <w:rsid w:val="002615D9"/>
    <w:rsid w:val="00266F78"/>
    <w:rsid w:val="00274A54"/>
    <w:rsid w:val="00282BAC"/>
    <w:rsid w:val="002971C5"/>
    <w:rsid w:val="0029778A"/>
    <w:rsid w:val="002A3E55"/>
    <w:rsid w:val="002C0DBD"/>
    <w:rsid w:val="002C215D"/>
    <w:rsid w:val="002D360A"/>
    <w:rsid w:val="002E08B8"/>
    <w:rsid w:val="002E3CDB"/>
    <w:rsid w:val="002F1A90"/>
    <w:rsid w:val="002F35CA"/>
    <w:rsid w:val="002F5075"/>
    <w:rsid w:val="002F6DBC"/>
    <w:rsid w:val="003006E9"/>
    <w:rsid w:val="003019AC"/>
    <w:rsid w:val="0030280B"/>
    <w:rsid w:val="00304BFB"/>
    <w:rsid w:val="0031546D"/>
    <w:rsid w:val="003162D0"/>
    <w:rsid w:val="00322942"/>
    <w:rsid w:val="003273C3"/>
    <w:rsid w:val="0033095F"/>
    <w:rsid w:val="00357705"/>
    <w:rsid w:val="0036169B"/>
    <w:rsid w:val="0037066F"/>
    <w:rsid w:val="00374577"/>
    <w:rsid w:val="0037504D"/>
    <w:rsid w:val="0038275A"/>
    <w:rsid w:val="00393CBB"/>
    <w:rsid w:val="003A28AD"/>
    <w:rsid w:val="003B4D18"/>
    <w:rsid w:val="003C0744"/>
    <w:rsid w:val="003C0F88"/>
    <w:rsid w:val="003C1DB0"/>
    <w:rsid w:val="003C4CAF"/>
    <w:rsid w:val="003D3287"/>
    <w:rsid w:val="003F08C5"/>
    <w:rsid w:val="003F3F6C"/>
    <w:rsid w:val="003F45EC"/>
    <w:rsid w:val="003F62B8"/>
    <w:rsid w:val="00402EB1"/>
    <w:rsid w:val="00404270"/>
    <w:rsid w:val="00416480"/>
    <w:rsid w:val="00421A25"/>
    <w:rsid w:val="0042209F"/>
    <w:rsid w:val="00427F78"/>
    <w:rsid w:val="00433D0D"/>
    <w:rsid w:val="00436AB9"/>
    <w:rsid w:val="00443D03"/>
    <w:rsid w:val="00445097"/>
    <w:rsid w:val="00452F68"/>
    <w:rsid w:val="00457AAE"/>
    <w:rsid w:val="00470306"/>
    <w:rsid w:val="004710FF"/>
    <w:rsid w:val="00473364"/>
    <w:rsid w:val="00485B90"/>
    <w:rsid w:val="00486C07"/>
    <w:rsid w:val="00487126"/>
    <w:rsid w:val="00496B84"/>
    <w:rsid w:val="00497986"/>
    <w:rsid w:val="004A6E79"/>
    <w:rsid w:val="004B22EF"/>
    <w:rsid w:val="004B2954"/>
    <w:rsid w:val="004C4272"/>
    <w:rsid w:val="004C6486"/>
    <w:rsid w:val="004C6754"/>
    <w:rsid w:val="004D4682"/>
    <w:rsid w:val="004D6515"/>
    <w:rsid w:val="004D6A4E"/>
    <w:rsid w:val="004E1CE1"/>
    <w:rsid w:val="004E2EE7"/>
    <w:rsid w:val="004E74E5"/>
    <w:rsid w:val="004F0174"/>
    <w:rsid w:val="00503218"/>
    <w:rsid w:val="00503F5C"/>
    <w:rsid w:val="00504799"/>
    <w:rsid w:val="005078E3"/>
    <w:rsid w:val="00507AD1"/>
    <w:rsid w:val="00511DD4"/>
    <w:rsid w:val="00516B67"/>
    <w:rsid w:val="00532B02"/>
    <w:rsid w:val="00536C8E"/>
    <w:rsid w:val="00557CE9"/>
    <w:rsid w:val="00563235"/>
    <w:rsid w:val="005677E4"/>
    <w:rsid w:val="00572041"/>
    <w:rsid w:val="005768BD"/>
    <w:rsid w:val="00594833"/>
    <w:rsid w:val="005A2B7B"/>
    <w:rsid w:val="005A406E"/>
    <w:rsid w:val="005B1094"/>
    <w:rsid w:val="005B4B9B"/>
    <w:rsid w:val="005C3E6E"/>
    <w:rsid w:val="005D10C5"/>
    <w:rsid w:val="005E18F8"/>
    <w:rsid w:val="005E2ADE"/>
    <w:rsid w:val="005E490B"/>
    <w:rsid w:val="005E6D6C"/>
    <w:rsid w:val="005F1C63"/>
    <w:rsid w:val="005F2905"/>
    <w:rsid w:val="00606F7D"/>
    <w:rsid w:val="00607860"/>
    <w:rsid w:val="006247E5"/>
    <w:rsid w:val="00627963"/>
    <w:rsid w:val="00633D08"/>
    <w:rsid w:val="00635DD1"/>
    <w:rsid w:val="00642210"/>
    <w:rsid w:val="006465DD"/>
    <w:rsid w:val="00654C14"/>
    <w:rsid w:val="00656460"/>
    <w:rsid w:val="00662C63"/>
    <w:rsid w:val="006659D0"/>
    <w:rsid w:val="00665DC4"/>
    <w:rsid w:val="00670022"/>
    <w:rsid w:val="006700F3"/>
    <w:rsid w:val="00683E75"/>
    <w:rsid w:val="006A397C"/>
    <w:rsid w:val="006C7842"/>
    <w:rsid w:val="006D1682"/>
    <w:rsid w:val="006D265C"/>
    <w:rsid w:val="006E5EAC"/>
    <w:rsid w:val="006E7EF8"/>
    <w:rsid w:val="006F0879"/>
    <w:rsid w:val="0070000C"/>
    <w:rsid w:val="00702B29"/>
    <w:rsid w:val="00705D2A"/>
    <w:rsid w:val="00711175"/>
    <w:rsid w:val="00714151"/>
    <w:rsid w:val="00731310"/>
    <w:rsid w:val="007327DB"/>
    <w:rsid w:val="00744CFF"/>
    <w:rsid w:val="00752463"/>
    <w:rsid w:val="00760ECA"/>
    <w:rsid w:val="00761694"/>
    <w:rsid w:val="00782B07"/>
    <w:rsid w:val="00782CB6"/>
    <w:rsid w:val="00784A3A"/>
    <w:rsid w:val="0079671B"/>
    <w:rsid w:val="007D3E2D"/>
    <w:rsid w:val="007E50F3"/>
    <w:rsid w:val="007F4019"/>
    <w:rsid w:val="007F76D0"/>
    <w:rsid w:val="008035E8"/>
    <w:rsid w:val="00806E75"/>
    <w:rsid w:val="0083048C"/>
    <w:rsid w:val="00832800"/>
    <w:rsid w:val="00833710"/>
    <w:rsid w:val="00844ACF"/>
    <w:rsid w:val="00851B0E"/>
    <w:rsid w:val="0085276F"/>
    <w:rsid w:val="00860995"/>
    <w:rsid w:val="00860EA8"/>
    <w:rsid w:val="00872DFA"/>
    <w:rsid w:val="00874021"/>
    <w:rsid w:val="008742BD"/>
    <w:rsid w:val="0087522D"/>
    <w:rsid w:val="00883601"/>
    <w:rsid w:val="00892F63"/>
    <w:rsid w:val="008B24A5"/>
    <w:rsid w:val="008C0AE4"/>
    <w:rsid w:val="008C29A6"/>
    <w:rsid w:val="008D4D09"/>
    <w:rsid w:val="008D777E"/>
    <w:rsid w:val="00901BE3"/>
    <w:rsid w:val="00930846"/>
    <w:rsid w:val="00934FC7"/>
    <w:rsid w:val="00940A86"/>
    <w:rsid w:val="00940CA5"/>
    <w:rsid w:val="00951435"/>
    <w:rsid w:val="00960717"/>
    <w:rsid w:val="009651A9"/>
    <w:rsid w:val="009724A6"/>
    <w:rsid w:val="00977DD1"/>
    <w:rsid w:val="00982C9D"/>
    <w:rsid w:val="00985773"/>
    <w:rsid w:val="00987E4F"/>
    <w:rsid w:val="00990E23"/>
    <w:rsid w:val="009A2EBC"/>
    <w:rsid w:val="009C027F"/>
    <w:rsid w:val="009C79E4"/>
    <w:rsid w:val="009D6E30"/>
    <w:rsid w:val="009E3B33"/>
    <w:rsid w:val="009F2E1D"/>
    <w:rsid w:val="009F4CF8"/>
    <w:rsid w:val="009F585C"/>
    <w:rsid w:val="009F7A2A"/>
    <w:rsid w:val="00A01E34"/>
    <w:rsid w:val="00A04E1D"/>
    <w:rsid w:val="00A0528D"/>
    <w:rsid w:val="00A15445"/>
    <w:rsid w:val="00A21D03"/>
    <w:rsid w:val="00A21FA8"/>
    <w:rsid w:val="00A44484"/>
    <w:rsid w:val="00A51416"/>
    <w:rsid w:val="00A51D01"/>
    <w:rsid w:val="00A525BE"/>
    <w:rsid w:val="00A559EB"/>
    <w:rsid w:val="00A64A9C"/>
    <w:rsid w:val="00A71302"/>
    <w:rsid w:val="00A829F2"/>
    <w:rsid w:val="00A86FE9"/>
    <w:rsid w:val="00A9414D"/>
    <w:rsid w:val="00A95F76"/>
    <w:rsid w:val="00AA2BEC"/>
    <w:rsid w:val="00AB372F"/>
    <w:rsid w:val="00AB3E7C"/>
    <w:rsid w:val="00AC07A3"/>
    <w:rsid w:val="00AC60AA"/>
    <w:rsid w:val="00AD3DC6"/>
    <w:rsid w:val="00AD72DD"/>
    <w:rsid w:val="00AE13AF"/>
    <w:rsid w:val="00AE1D72"/>
    <w:rsid w:val="00AE623B"/>
    <w:rsid w:val="00B01268"/>
    <w:rsid w:val="00B04D60"/>
    <w:rsid w:val="00B05534"/>
    <w:rsid w:val="00B05B65"/>
    <w:rsid w:val="00B103B9"/>
    <w:rsid w:val="00B2494A"/>
    <w:rsid w:val="00B33E76"/>
    <w:rsid w:val="00B359B4"/>
    <w:rsid w:val="00B45C1A"/>
    <w:rsid w:val="00B51DC4"/>
    <w:rsid w:val="00B615E0"/>
    <w:rsid w:val="00B72A01"/>
    <w:rsid w:val="00B80A78"/>
    <w:rsid w:val="00B82A48"/>
    <w:rsid w:val="00BA1448"/>
    <w:rsid w:val="00BA3D81"/>
    <w:rsid w:val="00BA3EDD"/>
    <w:rsid w:val="00BA6E48"/>
    <w:rsid w:val="00BB42D1"/>
    <w:rsid w:val="00BB6050"/>
    <w:rsid w:val="00BF608F"/>
    <w:rsid w:val="00C1380C"/>
    <w:rsid w:val="00C1390B"/>
    <w:rsid w:val="00C13F7D"/>
    <w:rsid w:val="00C16672"/>
    <w:rsid w:val="00C20BD7"/>
    <w:rsid w:val="00C25B28"/>
    <w:rsid w:val="00C30672"/>
    <w:rsid w:val="00C42F3A"/>
    <w:rsid w:val="00C6459C"/>
    <w:rsid w:val="00C669B0"/>
    <w:rsid w:val="00C740BC"/>
    <w:rsid w:val="00C76407"/>
    <w:rsid w:val="00C774A0"/>
    <w:rsid w:val="00C82FF8"/>
    <w:rsid w:val="00C96E1E"/>
    <w:rsid w:val="00CA3AC3"/>
    <w:rsid w:val="00CB686F"/>
    <w:rsid w:val="00CC3CF4"/>
    <w:rsid w:val="00CC6DD4"/>
    <w:rsid w:val="00CD2357"/>
    <w:rsid w:val="00CE21FB"/>
    <w:rsid w:val="00CE3E8B"/>
    <w:rsid w:val="00CF09F8"/>
    <w:rsid w:val="00CF1512"/>
    <w:rsid w:val="00CF1A34"/>
    <w:rsid w:val="00CF1D1D"/>
    <w:rsid w:val="00CF286D"/>
    <w:rsid w:val="00CF747F"/>
    <w:rsid w:val="00D05175"/>
    <w:rsid w:val="00D12917"/>
    <w:rsid w:val="00D130B5"/>
    <w:rsid w:val="00D16813"/>
    <w:rsid w:val="00D2153E"/>
    <w:rsid w:val="00D261CE"/>
    <w:rsid w:val="00D32C86"/>
    <w:rsid w:val="00D4075A"/>
    <w:rsid w:val="00D416E9"/>
    <w:rsid w:val="00D42113"/>
    <w:rsid w:val="00D42C1C"/>
    <w:rsid w:val="00D60A99"/>
    <w:rsid w:val="00D60BE0"/>
    <w:rsid w:val="00D6233F"/>
    <w:rsid w:val="00D816A9"/>
    <w:rsid w:val="00D85384"/>
    <w:rsid w:val="00D8673D"/>
    <w:rsid w:val="00D87FA7"/>
    <w:rsid w:val="00D91DDE"/>
    <w:rsid w:val="00D961A6"/>
    <w:rsid w:val="00DA0F71"/>
    <w:rsid w:val="00DA3BED"/>
    <w:rsid w:val="00DD30C2"/>
    <w:rsid w:val="00DD6769"/>
    <w:rsid w:val="00DE1D88"/>
    <w:rsid w:val="00DE2B80"/>
    <w:rsid w:val="00DE5768"/>
    <w:rsid w:val="00DE76B8"/>
    <w:rsid w:val="00DF6329"/>
    <w:rsid w:val="00DF6FA6"/>
    <w:rsid w:val="00E02EC0"/>
    <w:rsid w:val="00E06F56"/>
    <w:rsid w:val="00E178CF"/>
    <w:rsid w:val="00E36059"/>
    <w:rsid w:val="00E42189"/>
    <w:rsid w:val="00E43703"/>
    <w:rsid w:val="00E535DF"/>
    <w:rsid w:val="00E7134D"/>
    <w:rsid w:val="00E7601B"/>
    <w:rsid w:val="00E80856"/>
    <w:rsid w:val="00E8491C"/>
    <w:rsid w:val="00E86011"/>
    <w:rsid w:val="00E905E1"/>
    <w:rsid w:val="00E92456"/>
    <w:rsid w:val="00E9286F"/>
    <w:rsid w:val="00EA3D86"/>
    <w:rsid w:val="00EA464F"/>
    <w:rsid w:val="00EB1663"/>
    <w:rsid w:val="00EB5E20"/>
    <w:rsid w:val="00EC319D"/>
    <w:rsid w:val="00ED1380"/>
    <w:rsid w:val="00ED342C"/>
    <w:rsid w:val="00EE39FB"/>
    <w:rsid w:val="00EE3C5E"/>
    <w:rsid w:val="00EE5120"/>
    <w:rsid w:val="00EF2A7E"/>
    <w:rsid w:val="00F05133"/>
    <w:rsid w:val="00F057D3"/>
    <w:rsid w:val="00F06195"/>
    <w:rsid w:val="00F075BE"/>
    <w:rsid w:val="00F07B81"/>
    <w:rsid w:val="00F07F8A"/>
    <w:rsid w:val="00F10327"/>
    <w:rsid w:val="00F10809"/>
    <w:rsid w:val="00F10F14"/>
    <w:rsid w:val="00F11CBB"/>
    <w:rsid w:val="00F15F68"/>
    <w:rsid w:val="00F210DB"/>
    <w:rsid w:val="00F2215E"/>
    <w:rsid w:val="00F2375A"/>
    <w:rsid w:val="00F2733C"/>
    <w:rsid w:val="00F32D1F"/>
    <w:rsid w:val="00F358D7"/>
    <w:rsid w:val="00F453F8"/>
    <w:rsid w:val="00F46424"/>
    <w:rsid w:val="00F52AC5"/>
    <w:rsid w:val="00F6236B"/>
    <w:rsid w:val="00F63E00"/>
    <w:rsid w:val="00F64642"/>
    <w:rsid w:val="00F70E4D"/>
    <w:rsid w:val="00F70EAF"/>
    <w:rsid w:val="00F763EA"/>
    <w:rsid w:val="00F82C86"/>
    <w:rsid w:val="00F84209"/>
    <w:rsid w:val="00F92545"/>
    <w:rsid w:val="00F943B7"/>
    <w:rsid w:val="00F945B9"/>
    <w:rsid w:val="00FA2421"/>
    <w:rsid w:val="00FA2480"/>
    <w:rsid w:val="00FA47E9"/>
    <w:rsid w:val="00FB2834"/>
    <w:rsid w:val="00FC46AC"/>
    <w:rsid w:val="00FC4FD3"/>
    <w:rsid w:val="00FC6C9D"/>
    <w:rsid w:val="00FD769C"/>
    <w:rsid w:val="00FE5BF5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9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0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0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4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33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3309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07B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0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07B9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4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375</cp:revision>
  <cp:lastPrinted>2016-03-30T00:08:00Z</cp:lastPrinted>
  <dcterms:created xsi:type="dcterms:W3CDTF">2021-09-17T14:49:00Z</dcterms:created>
  <dcterms:modified xsi:type="dcterms:W3CDTF">2022-04-20T20:30:00Z</dcterms:modified>
  <cp:category/>
</cp:coreProperties>
</file>