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uthors"/>
    <w:p>
      <w:pPr>
        <w:pStyle w:val="Heading1"/>
      </w:pPr>
      <w:r>
        <w:t xml:space="preserve">Authors</w:t>
      </w:r>
    </w:p>
    <w:bookmarkStart w:id="10" w:name="connexon"/>
    <w:p>
      <w:pPr>
        <w:pStyle w:val="Heading2"/>
      </w:pPr>
      <w:r>
        <w:t xml:space="preserve">Connexon</w:t>
      </w:r>
    </w:p>
    <w:p>
      <w:pPr>
        <w:pStyle w:val="FirstParagraph"/>
      </w:pPr>
      <w:r>
        <w:rPr>
          <w:b/>
          <w:bCs/>
        </w:rPr>
        <w:t xml:space="preserve">Prof. Dr. rer. nat. Lingzhang Meng</w:t>
      </w:r>
      <w:r>
        <w:t xml:space="preserve"> </w:t>
      </w:r>
      <w:r>
        <w:rPr>
          <w:rFonts w:hint="eastAsia"/>
        </w:rPr>
        <w:t xml:space="preserve">(孟令章</w:t>
      </w:r>
      <w:r>
        <w:t xml:space="preserve"> </w:t>
      </w:r>
      <w:r>
        <w:rPr>
          <w:rFonts w:hint="eastAsia"/>
        </w:rPr>
        <w:t xml:space="preserve">教授)</w:t>
      </w:r>
      <w:r>
        <w:t xml:space="preserve"> — creator and maintainer.</w:t>
      </w:r>
    </w:p>
    <w:p>
      <w:pPr>
        <w:pStyle w:val="BodyText"/>
      </w:pPr>
      <w:r>
        <w:t xml:space="preserve">Research Center for Medical Big Data and Artificial Intelligence,</w:t>
      </w:r>
      <w:r>
        <w:t xml:space="preserve"> </w:t>
      </w:r>
      <w:r>
        <w:t xml:space="preserve">The People’s Hospital of Guangxi Zhuang Autonomous Region</w:t>
      </w:r>
      <w:r>
        <w:t xml:space="preserve"> </w:t>
      </w:r>
      <w:r>
        <w:t xml:space="preserve">(Guangxi Academy of Medical Sciences)</w:t>
      </w:r>
    </w:p>
    <w:p>
      <w:pPr>
        <w:pStyle w:val="BodyText"/>
      </w:pPr>
      <w:r>
        <w:rPr>
          <w:rFonts w:hint="eastAsia"/>
        </w:rPr>
        <w:t xml:space="preserve">广西壮族自治区人民医院（广西医学科学院）医学大数据与人工智能研究中心</w:t>
      </w:r>
    </w:p>
    <w:p>
      <w:pPr>
        <w:pStyle w:val="BodyText"/>
      </w:pPr>
      <w:r>
        <w:rPr>
          <w:rFonts w:hint="eastAsia"/>
        </w:rPr>
        <w:t xml:space="preserve">孟令章教授[广西壮族自治区人民医院（广西医学科学院）,医学大数据与人工智能研究中心]</w:t>
      </w:r>
    </w:p>
    <w:p>
      <w:pPr>
        <w:pStyle w:val="Compact"/>
        <w:numPr>
          <w:ilvl w:val="0"/>
          <w:numId w:val="1001"/>
        </w:numPr>
      </w:pP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@LingzhangMeng</w:t>
        </w:r>
      </w:hyperlink>
    </w:p>
    <w:p>
      <w:pPr>
        <w:pStyle w:val="Compact"/>
        <w:numPr>
          <w:ilvl w:val="0"/>
          <w:numId w:val="1001"/>
        </w:numPr>
      </w:pPr>
      <w:r>
        <w:t xml:space="preserve">Email: lzmeng@gxams.org.cn</w:t>
      </w:r>
    </w:p>
    <w:bookmarkEnd w:id="10"/>
    <w:bookmarkStart w:id="11" w:name="roles"/>
    <w:p>
      <w:pPr>
        <w:pStyle w:val="Heading2"/>
      </w:pPr>
      <w:r>
        <w:t xml:space="preserve">Roles</w:t>
      </w:r>
    </w:p>
    <w:p>
      <w:pPr>
        <w:pStyle w:val="Compact"/>
        <w:numPr>
          <w:ilvl w:val="0"/>
          <w:numId w:val="1002"/>
        </w:numPr>
      </w:pPr>
      <w:r>
        <w:t xml:space="preserve">Language design and syntax specification</w:t>
      </w:r>
    </w:p>
    <w:p>
      <w:pPr>
        <w:pStyle w:val="Compact"/>
        <w:numPr>
          <w:ilvl w:val="0"/>
          <w:numId w:val="1002"/>
        </w:numPr>
      </w:pPr>
      <w:r>
        <w:t xml:space="preserve">Rust core, parser, evaluator and runtime</w:t>
      </w:r>
    </w:p>
    <w:p>
      <w:pPr>
        <w:pStyle w:val="Compact"/>
        <w:numPr>
          <w:ilvl w:val="0"/>
          <w:numId w:val="1002"/>
        </w:numPr>
      </w:pPr>
      <w:r>
        <w:t xml:space="preserve">Process-isolated R and Python bridges</w:t>
      </w:r>
    </w:p>
    <w:p>
      <w:pPr>
        <w:pStyle w:val="Compact"/>
        <w:numPr>
          <w:ilvl w:val="0"/>
          <w:numId w:val="1002"/>
        </w:numPr>
      </w:pPr>
      <w:r>
        <w:t xml:space="preserve">Hardware probe and install planner</w:t>
      </w:r>
    </w:p>
    <w:p>
      <w:pPr>
        <w:pStyle w:val="Compact"/>
        <w:numPr>
          <w:ilvl w:val="0"/>
          <w:numId w:val="1002"/>
        </w:numPr>
      </w:pPr>
      <w:r>
        <w:t xml:space="preserve">Documentation and release engineering</w:t>
      </w:r>
    </w:p>
    <w:bookmarkEnd w:id="11"/>
    <w:bookmarkStart w:id="12" w:name="citation"/>
    <w:p>
      <w:pPr>
        <w:pStyle w:val="Heading2"/>
      </w:pPr>
      <w:r>
        <w:t xml:space="preserve">Citation</w:t>
      </w:r>
    </w:p>
    <w:p>
      <w:pPr>
        <w:pStyle w:val="FirstParagraph"/>
      </w:pPr>
      <w:r>
        <w:t xml:space="preserve">If you use Connexon in academic work, cite the project and the author above. A</w:t>
      </w:r>
      <w:r>
        <w:t xml:space="preserve"> </w:t>
      </w:r>
      <w:r>
        <w:rPr>
          <w:rStyle w:val="VerbatimChar"/>
        </w:rPr>
        <w:t xml:space="preserve">CITATION.cff</w:t>
      </w:r>
      <w:r>
        <w:t xml:space="preserve"> </w:t>
      </w:r>
      <w:r>
        <w:t xml:space="preserve">will be added when the first tagged release is published.</w:t>
      </w:r>
    </w:p>
    <w:bookmarkEnd w:id="12"/>
    <w:bookmarkStart w:id="13" w:name="contributions"/>
    <w:p>
      <w:pPr>
        <w:pStyle w:val="Heading2"/>
      </w:pPr>
      <w:r>
        <w:t xml:space="preserve">Contributions</w:t>
      </w:r>
    </w:p>
    <w:p>
      <w:pPr>
        <w:pStyle w:val="FirstParagraph"/>
      </w:pPr>
      <w:r>
        <w:t xml:space="preserve">Connexon is intended to be an open, reproducible research runtime. Contribution guidelines and a code of conduct will be added with the first public release.</w:t>
      </w:r>
    </w:p>
    <w:bookmarkEnd w:id="13"/>
    <w:bookmarkEnd w:id="1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cs="Times New Roman" w:eastAsia="FangSong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="Times New Roman" w:cstheme="majorBidi" w:eastAsia="FangSong" w:eastAsiaTheme="majorEastAsia" w:hAnsi="Times New Roman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="Times New Roman" w:cstheme="majorBidi" w:eastAsia="FangSong" w:eastAsiaTheme="majorEastAsia" w:hAnsi="Times New Roman" w:hAnsiTheme="majorHAnsi"/>
      <w:b/>
      <w:i/>
      <w:iCs/>
      <w:color w:themeColor="accent1" w:val="4F81BD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nsolas" w:cs="Consolas" w:eastAsia="FangSong" w:hAnsi="Consolas"/>
      <w:color w:val="FF0000"/>
      <w:sz w:val="20"/>
    </w:rPr>
  </w:style>
  <w:style w:customStyle="1" w:styleId="SourceCode" w:type="paragraph">
    <w:name w:val="Source Code"/>
    <w:pPr>
      <w:spacing w:after="80" w:line="240" w:lineRule="auto"/>
    </w:pPr>
    <w:rPr>
      <w:rFonts w:ascii="Consolas" w:cs="Consolas" w:eastAsia="FangSong" w:hAnsi="Consolas"/>
      <w:color w:val="FF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LingzhangMe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LingzhangMe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2026-10-19T09:53:03Z</dcterms:created>
  <dcterms:modified xsi:type="dcterms:W3CDTF">2026-10-19T09:53:03Z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