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nnexon-brand-guide"/>
    <w:p>
      <w:pPr>
        <w:pStyle w:val="Heading1"/>
      </w:pPr>
      <w:r>
        <w:t xml:space="preserve">Connexon brand guide</w:t>
      </w:r>
    </w:p>
    <w:p>
      <w:pPr>
        <w:pStyle w:val="CaptionedFigure"/>
      </w:pPr>
      <w:r>
        <w:drawing>
          <wp:inline>
            <wp:extent cx="1625600" cy="1625600"/>
            <wp:effectExtent b="0" l="0" r="0" t="0"/>
            <wp:docPr descr="Connexon mark" title="" id="10" name="Picture"/>
            <a:graphic>
              <a:graphicData uri="http://schemas.openxmlformats.org/drawingml/2006/picture">
                <pic:pic>
                  <pic:nvPicPr>
                    <pic:cNvPr descr="../assets/logo-12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Connexon mark</w:t>
      </w:r>
    </w:p>
    <w:bookmarkStart w:id="12" w:name="the-mark"/>
    <w:p>
      <w:pPr>
        <w:pStyle w:val="Heading2"/>
      </w:pPr>
      <w:r>
        <w:t xml:space="preserve">The mark</w:t>
      </w:r>
    </w:p>
    <w:p>
      <w:pPr>
        <w:pStyle w:val="FirstParagraph"/>
      </w:pPr>
      <w:r>
        <w:t xml:space="preserve">The Connexon mark is a hexagonal</w:t>
      </w:r>
      <w:r>
        <w:t xml:space="preserve"> </w:t>
      </w:r>
      <w:r>
        <w:rPr>
          <w:b/>
          <w:bCs/>
        </w:rPr>
        <w:t xml:space="preserve">connexon</w:t>
      </w:r>
      <w:r>
        <w:t xml:space="preserve"> </w:t>
      </w:r>
      <w:r>
        <w:t xml:space="preserve">— the half-channel that two cells</w:t>
      </w:r>
      <w:r>
        <w:t xml:space="preserve"> </w:t>
      </w:r>
      <w:r>
        <w:t xml:space="preserve">contribute to a gap junction. Two halves meet around a central channel.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Hexagon</w:t>
            </w:r>
          </w:p>
        </w:tc>
        <w:tc>
          <w:tcPr/>
          <w:p>
            <w:pPr>
              <w:pStyle w:val="Compact"/>
            </w:pPr>
            <w:r>
              <w:t xml:space="preserve">The hexameric ring of a connexon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teal half</w:t>
            </w:r>
          </w:p>
        </w:tc>
        <w:tc>
          <w:tcPr/>
          <w:p>
            <w:pPr>
              <w:pStyle w:val="Compact"/>
            </w:pPr>
            <w:r>
              <w:t xml:space="preserve">R and its statistical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amber half</w:t>
            </w:r>
          </w:p>
        </w:tc>
        <w:tc>
          <w:tcPr/>
          <w:p>
            <w:pPr>
              <w:pStyle w:val="Compact"/>
            </w:pPr>
            <w:r>
              <w:t xml:space="preserve">Python and its model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Ivory channel</w:t>
            </w:r>
          </w:p>
        </w:tc>
        <w:tc>
          <w:tcPr/>
          <w:p>
            <w:pPr>
              <w:pStyle w:val="Compact"/>
            </w:pPr>
            <w:r>
              <w:t xml:space="preserve">Connexon, the runtime that joins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Navy field</w:t>
            </w:r>
          </w:p>
        </w:tc>
        <w:tc>
          <w:tcPr/>
          <w:p>
            <w:pPr>
              <w:pStyle w:val="Compact"/>
            </w:pPr>
            <w:r>
              <w:t xml:space="preserve">Rust, the core beneath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Navy pore</w:t>
            </w:r>
          </w:p>
        </w:tc>
        <w:tc>
          <w:tcPr/>
          <w:p>
            <w:pPr>
              <w:pStyle w:val="Compact"/>
            </w:pPr>
            <w:r>
              <w:t xml:space="preserve">The lumen through which data crosses</w:t>
            </w:r>
          </w:p>
        </w:tc>
      </w:tr>
    </w:tbl>
    <w:p>
      <w:pPr>
        <w:pStyle w:val="BodyText"/>
      </w:pPr>
      <w:r>
        <w:t xml:space="preserve">The mark is deliberately simple: it stays legible at 24 px and needs no text to be</w:t>
      </w:r>
      <w:r>
        <w:t xml:space="preserve"> </w:t>
      </w:r>
      <w:r>
        <w:t xml:space="preserve">recognised.</w:t>
      </w:r>
    </w:p>
    <w:bookmarkEnd w:id="12"/>
    <w:bookmarkStart w:id="13" w:name="assets"/>
    <w:p>
      <w:pPr>
        <w:pStyle w:val="Heading2"/>
      </w:pPr>
      <w:r>
        <w:t xml:space="preserve">Assets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assets/logo.svg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Primary mark, navy rounded square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assets/logo.png</w:t>
            </w:r>
          </w:p>
        </w:tc>
        <w:tc>
          <w:tcPr/>
          <w:p>
            <w:pPr>
              <w:pStyle w:val="Compact"/>
            </w:pPr>
            <w:r>
              <w:t xml:space="preserve">1024 × 1024</w:t>
            </w:r>
          </w:p>
        </w:tc>
        <w:tc>
          <w:tcPr/>
          <w:p>
            <w:pPr>
              <w:pStyle w:val="Compact"/>
            </w:pPr>
            <w:r>
              <w:t xml:space="preserve">GitHub avatar, documentation, social preview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assets/logo-512.png</w:t>
            </w:r>
          </w:p>
        </w:tc>
        <w:tc>
          <w:tcPr/>
          <w:p>
            <w:pPr>
              <w:pStyle w:val="Compact"/>
            </w:pPr>
            <w:r>
              <w:t xml:space="preserve">512 × 512</w:t>
            </w:r>
          </w:p>
        </w:tc>
        <w:tc>
          <w:tcPr/>
          <w:p>
            <w:pPr>
              <w:pStyle w:val="Compact"/>
            </w:pPr>
            <w:r>
              <w:t xml:space="preserve">Smaller raster 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assets/logo-128.png</w:t>
            </w:r>
          </w:p>
        </w:tc>
        <w:tc>
          <w:tcPr/>
          <w:p>
            <w:pPr>
              <w:pStyle w:val="Compact"/>
            </w:pPr>
            <w:r>
              <w:t xml:space="preserve">128 × 128</w:t>
            </w:r>
          </w:p>
        </w:tc>
        <w:tc>
          <w:tcPr/>
          <w:p>
            <w:pPr>
              <w:pStyle w:val="Compact"/>
            </w:pPr>
            <w:r>
              <w:t xml:space="preserve">Small raster 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assets/logo-transparent.svg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Transparent mark for light backgrounds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assets/logo-transparent.png</w:t>
            </w:r>
          </w:p>
        </w:tc>
        <w:tc>
          <w:tcPr/>
          <w:p>
            <w:pPr>
              <w:pStyle w:val="Compact"/>
            </w:pPr>
            <w:r>
              <w:t xml:space="preserve">1024 × 1024</w:t>
            </w:r>
          </w:p>
        </w:tc>
        <w:tc>
          <w:tcPr/>
          <w:p>
            <w:pPr>
              <w:pStyle w:val="Compact"/>
            </w:pPr>
            <w:r>
              <w:t xml:space="preserve">Transparent raster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assets/favicon.svg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Browser tab icon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assets/social-preview.png</w:t>
            </w:r>
          </w:p>
        </w:tc>
        <w:tc>
          <w:tcPr/>
          <w:p>
            <w:pPr>
              <w:pStyle w:val="Compact"/>
            </w:pPr>
            <w:r>
              <w:t xml:space="preserve">1280 × 640</w:t>
            </w:r>
          </w:p>
        </w:tc>
        <w:tc>
          <w:tcPr/>
          <w:p>
            <w:pPr>
              <w:pStyle w:val="Compact"/>
            </w:pPr>
            <w:r>
              <w:t xml:space="preserve">GitHub social preview</w:t>
            </w:r>
          </w:p>
        </w:tc>
      </w:tr>
    </w:tbl>
    <w:bookmarkEnd w:id="13"/>
    <w:bookmarkStart w:id="14" w:name="colour-palette"/>
    <w:p>
      <w:pPr>
        <w:pStyle w:val="Heading2"/>
      </w:pPr>
      <w:r>
        <w:t xml:space="preserve">Colour palette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#0B1B2B</w:t>
            </w:r>
          </w:p>
        </w:tc>
        <w:tc>
          <w:tcPr/>
          <w:p>
            <w:pPr>
              <w:pStyle w:val="Compact"/>
            </w:pPr>
            <w:r>
              <w:t xml:space="preserve">Background, core, pore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#2A9D8F</w:t>
            </w:r>
          </w:p>
        </w:tc>
        <w:tc>
          <w:tcPr/>
          <w:p>
            <w:pPr>
              <w:pStyle w:val="Compact"/>
            </w:pPr>
            <w:r>
              <w:t xml:space="preserve">R half, accents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#E9A23B</w:t>
            </w:r>
          </w:p>
        </w:tc>
        <w:tc>
          <w:tcPr/>
          <w:p>
            <w:pPr>
              <w:pStyle w:val="Compact"/>
            </w:pPr>
            <w:r>
              <w:t xml:space="preserve">Python half, highlights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#F7F3E9</w:t>
            </w:r>
          </w:p>
        </w:tc>
        <w:tc>
          <w:tcPr/>
          <w:p>
            <w:pPr>
              <w:pStyle w:val="Compact"/>
            </w:pPr>
            <w:r>
              <w:t xml:space="preserve">Channel, primary text on navy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Muted 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#9FB3C8</w:t>
            </w:r>
          </w:p>
        </w:tc>
        <w:tc>
          <w:tcPr/>
          <w:p>
            <w:pPr>
              <w:pStyle w:val="Compact"/>
            </w:pPr>
            <w:r>
              <w:t xml:space="preserve">Secondary text on navy</w:t>
            </w:r>
          </w:p>
        </w:tc>
      </w:tr>
    </w:tbl>
    <w:p>
      <w:pPr>
        <w:pStyle w:val="BodyText"/>
      </w:pPr>
      <w:r>
        <w:t xml:space="preserve">Contrast notes:</w:t>
      </w:r>
    </w:p>
    <w:p>
      <w:pPr>
        <w:pStyle w:val="Compact"/>
        <w:numPr>
          <w:ilvl w:val="0"/>
          <w:numId w:val="1001"/>
        </w:numPr>
      </w:pPr>
      <w:r>
        <w:t xml:space="preserve">Ivory on navy is high contrast and suitable for body text.</w:t>
      </w:r>
    </w:p>
    <w:p>
      <w:pPr>
        <w:pStyle w:val="Compact"/>
        <w:numPr>
          <w:ilvl w:val="0"/>
          <w:numId w:val="1001"/>
        </w:numPr>
      </w:pPr>
      <w:r>
        <w:t xml:space="preserve">Teal and amber carry the two ecosystems; do not swap them.</w:t>
      </w:r>
    </w:p>
    <w:p>
      <w:pPr>
        <w:pStyle w:val="Compact"/>
        <w:numPr>
          <w:ilvl w:val="0"/>
          <w:numId w:val="1001"/>
        </w:numPr>
      </w:pPr>
      <w:r>
        <w:t xml:space="preserve">Do not place the ivory channel on a light background — use the transparent variant,</w:t>
      </w:r>
      <w:r>
        <w:t xml:space="preserve"> </w:t>
      </w:r>
      <w:r>
        <w:t xml:space="preserve">which has a navy channel.</w:t>
      </w:r>
    </w:p>
    <w:bookmarkEnd w:id="14"/>
    <w:bookmarkStart w:id="15" w:name="clear-space"/>
    <w:p>
      <w:pPr>
        <w:pStyle w:val="Heading2"/>
      </w:pPr>
      <w:r>
        <w:t xml:space="preserve">Clear space</w:t>
      </w:r>
    </w:p>
    <w:p>
      <w:pPr>
        <w:pStyle w:val="FirstParagraph"/>
      </w:pPr>
      <w:r>
        <w:t xml:space="preserve">Keep at least</w:t>
      </w:r>
      <w:r>
        <w:t xml:space="preserve"> </w:t>
      </w:r>
      <w:r>
        <w:rPr>
          <w:b/>
          <w:bCs/>
        </w:rPr>
        <w:t xml:space="preserve">one quarter of the mark’s width</w:t>
      </w:r>
      <w:r>
        <w:t xml:space="preserve"> </w:t>
      </w:r>
      <w:r>
        <w:t xml:space="preserve">free on every side. Do not place text,</w:t>
      </w:r>
      <w:r>
        <w:t xml:space="preserve"> </w:t>
      </w:r>
      <w:r>
        <w:t xml:space="preserve">another logo or a border inside that space.</w:t>
      </w:r>
    </w:p>
    <w:bookmarkEnd w:id="15"/>
    <w:bookmarkStart w:id="16" w:name="minimum-size"/>
    <w:p>
      <w:pPr>
        <w:pStyle w:val="Heading2"/>
      </w:pPr>
      <w:r>
        <w:t xml:space="preserve">Minimum size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24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10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Favicon</w:t>
            </w:r>
          </w:p>
        </w:tc>
        <w:tc>
          <w:tcPr/>
          <w:p>
            <w:pPr>
              <w:pStyle w:val="Compact"/>
            </w:pPr>
            <w:r>
              <w:t xml:space="preserve">16–32 px (use</w:t>
            </w:r>
            <w:r>
              <w:t xml:space="preserve"> </w:t>
            </w:r>
            <w:r>
              <w:rPr>
                <w:rStyle w:val="VerbatimChar"/>
              </w:rPr>
              <w:t xml:space="preserve">favicon.svg</w:t>
            </w:r>
            <w:r>
              <w:t xml:space="preserve">)</w:t>
            </w:r>
          </w:p>
        </w:tc>
      </w:tr>
    </w:tbl>
    <w:bookmarkEnd w:id="16"/>
    <w:bookmarkStart w:id="17" w:name="backgrounds"/>
    <w:p>
      <w:pPr>
        <w:pStyle w:val="Heading2"/>
      </w:pPr>
      <w:r>
        <w:t xml:space="preserve">Backgrounds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logo-transparent.svg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logo-transparent.png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logo.svg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logo.png</w:t>
            </w:r>
            <w:r>
              <w:t xml:space="preserve"> </w:t>
            </w:r>
            <w:r>
              <w:t xml:space="preserve">(the navy square provides contrast)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photograph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logo.png</w:t>
            </w:r>
            <w:r>
              <w:t xml:space="preserve"> </w:t>
            </w:r>
            <w:r>
              <w:t xml:space="preserve">on the navy rounded square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avatar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social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social-preview.png</w:t>
            </w:r>
          </w:p>
        </w:tc>
      </w:tr>
    </w:tbl>
    <w:bookmarkEnd w:id="17"/>
    <w:bookmarkStart w:id="18" w:name="do"/>
    <w:p>
      <w:pPr>
        <w:pStyle w:val="Heading2"/>
      </w:pPr>
      <w:r>
        <w:t xml:space="preserve">Do</w:t>
      </w:r>
    </w:p>
    <w:p>
      <w:pPr>
        <w:pStyle w:val="Compact"/>
        <w:numPr>
          <w:ilvl w:val="0"/>
          <w:numId w:val="1002"/>
        </w:numPr>
      </w:pPr>
      <w:r>
        <w:t xml:space="preserve">Use the supplied files.</w:t>
      </w:r>
    </w:p>
    <w:p>
      <w:pPr>
        <w:pStyle w:val="Compact"/>
        <w:numPr>
          <w:ilvl w:val="0"/>
          <w:numId w:val="1002"/>
        </w:numPr>
      </w:pPr>
      <w:r>
        <w:t xml:space="preserve">Preserve the aspect ratio.</w:t>
      </w:r>
    </w:p>
    <w:p>
      <w:pPr>
        <w:pStyle w:val="Compact"/>
        <w:numPr>
          <w:ilvl w:val="0"/>
          <w:numId w:val="1002"/>
        </w:numPr>
      </w:pPr>
      <w:r>
        <w:t xml:space="preserve">Keep the teal half on the left and the amber half on the right.</w:t>
      </w:r>
    </w:p>
    <w:p>
      <w:pPr>
        <w:pStyle w:val="Compact"/>
        <w:numPr>
          <w:ilvl w:val="0"/>
          <w:numId w:val="1002"/>
        </w:numPr>
      </w:pPr>
      <w:r>
        <w:t xml:space="preserve">Use the primary mark on dark backgrounds and the transparent mark on light ones.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social-preview.png</w:t>
      </w:r>
      <w:r>
        <w:t xml:space="preserve"> </w:t>
      </w:r>
      <w:r>
        <w:t xml:space="preserve">for the repository’s social preview.</w:t>
      </w:r>
    </w:p>
    <w:bookmarkEnd w:id="18"/>
    <w:bookmarkStart w:id="19" w:name="do-not"/>
    <w:p>
      <w:pPr>
        <w:pStyle w:val="Heading2"/>
      </w:pPr>
      <w:r>
        <w:t xml:space="preserve">Do not</w:t>
      </w:r>
    </w:p>
    <w:p>
      <w:pPr>
        <w:pStyle w:val="Compact"/>
        <w:numPr>
          <w:ilvl w:val="0"/>
          <w:numId w:val="1003"/>
        </w:numPr>
      </w:pPr>
      <w:r>
        <w:t xml:space="preserve">Recolour, rotate, stretch, skew or crop the mark.</w:t>
      </w:r>
    </w:p>
    <w:p>
      <w:pPr>
        <w:pStyle w:val="Compact"/>
        <w:numPr>
          <w:ilvl w:val="0"/>
          <w:numId w:val="1003"/>
        </w:numPr>
      </w:pPr>
      <w:r>
        <w:t xml:space="preserve">Separate the two halves or remove the channel.</w:t>
      </w:r>
    </w:p>
    <w:p>
      <w:pPr>
        <w:pStyle w:val="Compact"/>
        <w:numPr>
          <w:ilvl w:val="0"/>
          <w:numId w:val="1003"/>
        </w:numPr>
      </w:pPr>
      <w:r>
        <w:t xml:space="preserve">Add shadows, gradients, outlines or other effects.</w:t>
      </w:r>
    </w:p>
    <w:p>
      <w:pPr>
        <w:pStyle w:val="Compact"/>
        <w:numPr>
          <w:ilvl w:val="0"/>
          <w:numId w:val="1003"/>
        </w:numPr>
      </w:pPr>
      <w:r>
        <w:t xml:space="preserve">Change the channel to a low-contrast colour.</w:t>
      </w:r>
    </w:p>
    <w:p>
      <w:pPr>
        <w:pStyle w:val="Compact"/>
        <w:numPr>
          <w:ilvl w:val="0"/>
          <w:numId w:val="1003"/>
        </w:numPr>
      </w:pPr>
      <w:r>
        <w:t xml:space="preserve">Use the transparent variant on a dark background.</w:t>
      </w:r>
    </w:p>
    <w:p>
      <w:pPr>
        <w:pStyle w:val="Compact"/>
        <w:numPr>
          <w:ilvl w:val="0"/>
          <w:numId w:val="1003"/>
        </w:numPr>
      </w:pPr>
      <w:r>
        <w:t xml:space="preserve">Use the mark to imply endorsement by the R, Python or Rust projects.</w:t>
      </w:r>
    </w:p>
    <w:bookmarkEnd w:id="19"/>
    <w:bookmarkStart w:id="20" w:name="typography"/>
    <w:p>
      <w:pPr>
        <w:pStyle w:val="Heading2"/>
      </w:pPr>
      <w:r>
        <w:t xml:space="preserve">Typography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Headings and wordmark</w:t>
            </w:r>
          </w:p>
        </w:tc>
        <w:tc>
          <w:tcPr/>
          <w:p>
            <w:pPr>
              <w:pStyle w:val="Compact"/>
            </w:pPr>
            <w:r>
              <w:t xml:space="preserve">Inter, IBM Plex Sans</w:t>
            </w:r>
          </w:p>
        </w:tc>
        <w:tc>
          <w:tcPr/>
          <w:p>
            <w:pPr>
              <w:pStyle w:val="Compact"/>
            </w:pPr>
            <w:r>
              <w:t xml:space="preserve">system sans-serif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JetBrains Mono, IBM Plex Mono</w:t>
            </w:r>
          </w:p>
        </w:tc>
        <w:tc>
          <w:tcPr/>
          <w:p>
            <w:pPr>
              <w:pStyle w:val="Compact"/>
            </w:pPr>
            <w:r>
              <w:t xml:space="preserve">Consolas, monospace</w:t>
            </w:r>
          </w:p>
        </w:tc>
      </w:tr>
    </w:tbl>
    <w:p>
      <w:pPr>
        <w:pStyle w:val="BodyText"/>
      </w:pPr>
      <w:r>
        <w:t xml:space="preserve">The supplied raster assets use a geometric sans; the repository does not bundle font</w:t>
      </w:r>
      <w:r>
        <w:t xml:space="preserve"> </w:t>
      </w:r>
      <w:r>
        <w:t xml:space="preserve">files. Do not redraw the wordmark in a different typeface.</w:t>
      </w:r>
    </w:p>
    <w:bookmarkEnd w:id="20"/>
    <w:bookmarkStart w:id="25" w:name="usage"/>
    <w:p>
      <w:pPr>
        <w:pStyle w:val="Heading2"/>
      </w:pPr>
      <w:r>
        <w:t xml:space="preserve">Usage</w:t>
      </w:r>
    </w:p>
    <w:bookmarkStart w:id="21" w:name="readme"/>
    <w:p>
      <w:pPr>
        <w:pStyle w:val="Heading3"/>
      </w:pPr>
      <w:r>
        <w:t xml:space="preserve">README</w:t>
      </w:r>
    </w:p>
    <w:p>
      <w:pPr>
        <w:pStyle w:val="SourceCode"/>
      </w:pPr>
      <w:r>
        <w:rPr>
          <w:rStyle w:val="AlertTok"/>
        </w:rPr>
        <w:t xml:space="preserve">![Connexon logo](assets/logo-128.png)</w:t>
      </w:r>
    </w:p>
    <w:bookmarkEnd w:id="21"/>
    <w:bookmarkStart w:id="22" w:name="github-avatar"/>
    <w:p>
      <w:pPr>
        <w:pStyle w:val="Heading3"/>
      </w:pPr>
      <w:r>
        <w:t xml:space="preserve">GitHub avatar</w:t>
      </w:r>
    </w:p>
    <w:p>
      <w:pPr>
        <w:pStyle w:val="FirstParagraph"/>
      </w:pPr>
      <w:r>
        <w:t xml:space="preserve">Upload</w:t>
      </w:r>
      <w:r>
        <w:t xml:space="preserve"> </w:t>
      </w:r>
      <w:r>
        <w:rPr>
          <w:rStyle w:val="VerbatimChar"/>
        </w:rPr>
        <w:t xml:space="preserve">assets/logo.png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Settings → General → Social preview</w:t>
      </w:r>
      <w:r>
        <w:t xml:space="preserve"> </w:t>
      </w:r>
      <w:r>
        <w:t xml:space="preserve">or the</w:t>
      </w:r>
      <w:r>
        <w:t xml:space="preserve"> </w:t>
      </w:r>
      <w:r>
        <w:t xml:space="preserve">organisation avatar settings.</w:t>
      </w:r>
    </w:p>
    <w:bookmarkEnd w:id="22"/>
    <w:bookmarkStart w:id="23" w:name="github-social-preview"/>
    <w:p>
      <w:pPr>
        <w:pStyle w:val="Heading3"/>
      </w:pPr>
      <w:r>
        <w:t xml:space="preserve">GitHub social preview</w:t>
      </w:r>
    </w:p>
    <w:p>
      <w:pPr>
        <w:pStyle w:val="FirstParagraph"/>
      </w:pPr>
      <w:r>
        <w:t xml:space="preserve">Upload</w:t>
      </w:r>
      <w:r>
        <w:t xml:space="preserve"> </w:t>
      </w:r>
      <w:r>
        <w:rPr>
          <w:rStyle w:val="VerbatimChar"/>
        </w:rPr>
        <w:t xml:space="preserve">assets/social-preview.png</w:t>
      </w:r>
      <w:r>
        <w:t xml:space="preserve"> </w:t>
      </w:r>
      <w:r>
        <w:t xml:space="preserve">(1280 × 640) under</w:t>
      </w:r>
      <w:r>
        <w:t xml:space="preserve"> </w:t>
      </w:r>
      <w:r>
        <w:rPr>
          <w:b/>
          <w:bCs/>
        </w:rPr>
        <w:t xml:space="preserve">Settings → General → Social</w:t>
      </w:r>
      <w:r>
        <w:rPr>
          <w:b/>
          <w:bCs/>
        </w:rPr>
        <w:t xml:space="preserve"> </w:t>
      </w:r>
      <w:r>
        <w:rPr>
          <w:b/>
          <w:bCs/>
        </w:rPr>
        <w:t xml:space="preserve">preview</w:t>
      </w:r>
      <w:r>
        <w:t xml:space="preserve">.</w:t>
      </w:r>
    </w:p>
    <w:bookmarkEnd w:id="23"/>
    <w:bookmarkStart w:id="24" w:name="favicon"/>
    <w:p>
      <w:pPr>
        <w:pStyle w:val="Heading3"/>
      </w:pPr>
      <w:r>
        <w:t xml:space="preserve">Favicon</w:t>
      </w:r>
    </w:p>
    <w:p>
      <w:pPr>
        <w:pStyle w:val="FirstParagraph"/>
      </w:pPr>
      <w:r>
        <w:t xml:space="preserve">Reference</w:t>
      </w:r>
      <w:r>
        <w:t xml:space="preserve"> </w:t>
      </w:r>
      <w:r>
        <w:rPr>
          <w:rStyle w:val="VerbatimChar"/>
        </w:rPr>
        <w:t xml:space="preserve">assets/favicon.svg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"assets/favicon.svg"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"image/svg+xml"</w:t>
      </w:r>
      <w:r>
        <w:rPr>
          <w:rStyle w:val="DataTypeTok"/>
        </w:rPr>
        <w:t xml:space="preserve">&gt;</w:t>
      </w:r>
    </w:p>
    <w:bookmarkEnd w:id="24"/>
    <w:bookmarkEnd w:id="25"/>
    <w:bookmarkStart w:id="26" w:name="licence"/>
    <w:p>
      <w:pPr>
        <w:pStyle w:val="Heading2"/>
      </w:pPr>
      <w:r>
        <w:t xml:space="preserve">Licence</w:t>
      </w:r>
    </w:p>
    <w:p>
      <w:pPr>
        <w:pStyle w:val="FirstParagraph"/>
      </w:pPr>
      <w:r>
        <w:t xml:space="preserve">The Connexon mark is part of this repository and is released under the MIT licence.</w:t>
      </w:r>
      <w:r>
        <w:t xml:space="preserve"> </w:t>
      </w:r>
      <w:r>
        <w:t xml:space="preserve">No trademark claim is made over the word “Connexon” or the mark.</w:t>
      </w:r>
    </w:p>
    <w:bookmarkEnd w:id="26"/>
    <w:bookmarkEnd w:id="27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cs="Times New Roman" w:eastAsia="FangSong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="Times New Roman" w:cstheme="majorBidi" w:eastAsia="FangSong" w:eastAsiaTheme="majorEastAsia" w:hAnsi="Times New Roman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="Times New Roman" w:cstheme="majorBidi" w:eastAsia="FangSong" w:eastAsiaTheme="majorEastAsia" w:hAnsi="Times New Roman" w:hAnsiTheme="majorHAnsi"/>
      <w:b/>
      <w:i/>
      <w:iCs/>
      <w:color w:themeColor="accent1" w:val="4F81BD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nsolas" w:cs="Consolas" w:eastAsia="FangSong" w:hAnsi="Consolas"/>
      <w:color w:val="FF0000"/>
      <w:sz w:val="20"/>
    </w:rPr>
  </w:style>
  <w:style w:customStyle="1" w:styleId="SourceCode" w:type="paragraph">
    <w:name w:val="Source Code"/>
    <w:pPr>
      <w:spacing w:after="80" w:line="240" w:lineRule="auto"/>
    </w:pPr>
    <w:rPr>
      <w:rFonts w:ascii="Consolas" w:cs="Consolas" w:eastAsia="FangSong" w:hAnsi="Consolas"/>
      <w:color w:val="FF000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2026-10-19T09:53:05Z</dcterms:created>
  <dcterms:modified xsi:type="dcterms:W3CDTF">2026-10-19T09:53:05Z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