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connexon-faq"/>
    <w:p>
      <w:pPr>
        <w:pStyle w:val="Heading1"/>
      </w:pPr>
      <w:r>
        <w:t xml:space="preserve">Connexon FAQ</w:t>
      </w:r>
    </w:p>
    <w:bookmarkStart w:id="14" w:name="general"/>
    <w:p>
      <w:pPr>
        <w:pStyle w:val="Heading2"/>
      </w:pPr>
      <w:r>
        <w:t xml:space="preserve">General</w:t>
      </w:r>
    </w:p>
    <w:bookmarkStart w:id="9" w:name="Xc69a4be0279b8f2681416ac3f02b6a8f2d52f42"/>
    <w:p>
      <w:pPr>
        <w:pStyle w:val="Heading3"/>
      </w:pPr>
      <w:r>
        <w:t xml:space="preserve">Is Connexon a replacement for R or Python?</w:t>
      </w:r>
    </w:p>
    <w:p>
      <w:pPr>
        <w:pStyle w:val="FirstParagraph"/>
      </w:pPr>
      <w:r>
        <w:t xml:space="preserve">No. It is a channel between them. R keeps Bioconductor and its statistical libraries;</w:t>
      </w:r>
      <w:r>
        <w:t xml:space="preserve"> </w:t>
      </w:r>
      <w:r>
        <w:t xml:space="preserve">Python keeps PyTorch and its engineering ecosystem. Connexon owns the program that</w:t>
      </w:r>
      <w:r>
        <w:t xml:space="preserve"> </w:t>
      </w:r>
      <w:r>
        <w:t xml:space="preserve">composes them.</w:t>
      </w:r>
    </w:p>
    <w:bookmarkEnd w:id="9"/>
    <w:bookmarkStart w:id="10" w:name="why-rust"/>
    <w:p>
      <w:pPr>
        <w:pStyle w:val="Heading3"/>
      </w:pPr>
      <w:r>
        <w:t xml:space="preserve">Why Rust?</w:t>
      </w:r>
    </w:p>
    <w:p>
      <w:pPr>
        <w:pStyle w:val="FirstParagraph"/>
      </w:pPr>
      <w:r>
        <w:t xml:space="preserve">A small static binary, predictable memory behaviour, mature parallelism (</w:t>
      </w:r>
      <w:r>
        <w:rPr>
          <w:rStyle w:val="VerbatimChar"/>
        </w:rPr>
        <w:t xml:space="preserve">rayon</w:t>
      </w:r>
      <w:r>
        <w:t xml:space="preserve">),</w:t>
      </w:r>
      <w:r>
        <w:t xml:space="preserve"> </w:t>
      </w:r>
      <w:r>
        <w:t xml:space="preserve">Arrow support (</w:t>
      </w:r>
      <w:r>
        <w:rPr>
          <w:rStyle w:val="VerbatimChar"/>
        </w:rPr>
        <w:t xml:space="preserve">arrow-rs</w:t>
      </w:r>
      <w:r>
        <w:t xml:space="preserve">) and a credible path to a typed front end. It also gives one</w:t>
      </w:r>
      <w:r>
        <w:t xml:space="preserve"> </w:t>
      </w:r>
      <w:r>
        <w:t xml:space="preserve">portable process model on Linux, macOS and Windows.</w:t>
      </w:r>
    </w:p>
    <w:bookmarkEnd w:id="10"/>
    <w:bookmarkStart w:id="11" w:name="does-connexon-embed-r-or-python"/>
    <w:p>
      <w:pPr>
        <w:pStyle w:val="Heading3"/>
      </w:pPr>
      <w:r>
        <w:t xml:space="preserve">Does Connexon embed R or Python?</w:t>
      </w:r>
    </w:p>
    <w:p>
      <w:pPr>
        <w:pStyle w:val="FirstParagraph"/>
      </w:pPr>
      <w:r>
        <w:t xml:space="preserve">No. Every</w:t>
      </w:r>
      <w:r>
        <w:t xml:space="preserve"> </w:t>
      </w:r>
      <w:r>
        <w:rPr>
          <w:rStyle w:val="VerbatimChar"/>
        </w:rPr>
        <w:t xml:space="preserve">r::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py::</w:t>
      </w:r>
      <w:r>
        <w:t xml:space="preserve"> </w:t>
      </w:r>
      <w:r>
        <w:t xml:space="preserve">call spawns a fresh</w:t>
      </w:r>
      <w:r>
        <w:t xml:space="preserve"> </w:t>
      </w:r>
      <w:r>
        <w:rPr>
          <w:rStyle w:val="VerbatimChar"/>
        </w:rPr>
        <w:t xml:space="preserve">Rscript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process and</w:t>
      </w:r>
      <w:r>
        <w:t xml:space="preserve"> </w:t>
      </w:r>
      <w:r>
        <w:t xml:space="preserve">exchanges JSON through temporary files. This avoids R’s single-threaded</w:t>
      </w:r>
      <w:r>
        <w:t xml:space="preserve"> </w:t>
      </w:r>
      <w:r>
        <w:rPr>
          <w:rStyle w:val="VerbatimChar"/>
        </w:rPr>
        <w:t xml:space="preserve">longjmp</w:t>
      </w:r>
      <w:r>
        <w:t xml:space="preserve"> </w:t>
      </w:r>
      <w:r>
        <w:t xml:space="preserve">model,</w:t>
      </w:r>
      <w:r>
        <w:t xml:space="preserve"> </w:t>
      </w:r>
      <w:r>
        <w:t xml:space="preserve">Python’s GIL, crash propagation and GPL linking.</w:t>
      </w:r>
    </w:p>
    <w:bookmarkEnd w:id="11"/>
    <w:bookmarkStart w:id="12" w:name="is-connexon-statically-typed"/>
    <w:p>
      <w:pPr>
        <w:pStyle w:val="Heading3"/>
      </w:pPr>
      <w:r>
        <w:t xml:space="preserve">Is Connexon statically typed?</w:t>
      </w:r>
    </w:p>
    <w:p>
      <w:pPr>
        <w:pStyle w:val="FirstParagraph"/>
      </w:pPr>
      <w:r>
        <w:t xml:space="preserve">Not in Phase 0. Values are dynamically typed and every operator checks at run time.</w:t>
      </w:r>
      <w:r>
        <w:t xml:space="preserve"> </w:t>
      </w:r>
      <w:r>
        <w:t xml:space="preserve">Gradual typing is on the roadmap for Phase 3.</w:t>
      </w:r>
    </w:p>
    <w:bookmarkEnd w:id="12"/>
    <w:bookmarkStart w:id="13" w:name="does-it-run-on-windows-and-macos"/>
    <w:p>
      <w:pPr>
        <w:pStyle w:val="Heading3"/>
      </w:pPr>
      <w:r>
        <w:t xml:space="preserve">Does it run on Windows and macOS?</w:t>
      </w:r>
    </w:p>
    <w:p>
      <w:pPr>
        <w:pStyle w:val="FirstParagraph"/>
      </w:pPr>
      <w:r>
        <w:t xml:space="preserve">The design is portable: subprocesses plus JSON, no</w:t>
      </w:r>
      <w:r>
        <w:t xml:space="preserve"> </w:t>
      </w:r>
      <w:r>
        <w:rPr>
          <w:rStyle w:val="VerbatimChar"/>
        </w:rPr>
        <w:t xml:space="preserve">fork</w:t>
      </w:r>
      <w:r>
        <w:t xml:space="preserve">. Phase 0 is tested on Linux;</w:t>
      </w:r>
      <w:r>
        <w:t xml:space="preserve"> </w:t>
      </w:r>
      <w:r>
        <w:t xml:space="preserve">CI runs on Ubuntu. macOS and Windows builds are planned for the platform matrix.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5" w:name="usage"/>
    <w:p>
      <w:pPr>
        <w:pStyle w:val="Heading2"/>
      </w:pPr>
      <w:r>
        <w:t xml:space="preserve">Usage</w:t>
      </w:r>
    </w:p>
    <w:bookmarkStart w:id="15" w:name="how-do-i-run-a-program"/>
    <w:p>
      <w:pPr>
        <w:pStyle w:val="Heading3"/>
      </w:pPr>
      <w:r>
        <w:t xml:space="preserve">How do I run a program?</w:t>
      </w:r>
    </w:p>
    <w:p>
      <w:pPr>
        <w:pStyle w:val="SourceCode"/>
      </w:pPr>
      <w:r>
        <w:rPr>
          <w:rStyle w:val="ExtensionTok"/>
        </w:rPr>
        <w:t xml:space="preserve">cnx</w:t>
      </w:r>
      <w:r>
        <w:rPr>
          <w:rStyle w:val="NormalTok"/>
        </w:rPr>
        <w:t xml:space="preserve"> run program.cnx</w:t>
      </w:r>
    </w:p>
    <w:p>
      <w:pPr>
        <w:pStyle w:val="FirstParagraph"/>
      </w:pPr>
      <w:r>
        <w:t xml:space="preserve">Run from the repository root if the program uses relative paths such as</w:t>
      </w:r>
      <w:r>
        <w:t xml:space="preserve"> </w:t>
      </w:r>
      <w:r>
        <w:rPr>
          <w:rStyle w:val="VerbatimChar"/>
        </w:rPr>
        <w:t xml:space="preserve">examples/data/de_sample.csv</w:t>
      </w:r>
      <w:r>
        <w:t xml:space="preserve">.</w:t>
      </w:r>
    </w:p>
    <w:bookmarkEnd w:id="15"/>
    <w:bookmarkStart w:id="16" w:name="how-do-i-evaluate-a-single-expression"/>
    <w:p>
      <w:pPr>
        <w:pStyle w:val="Heading3"/>
      </w:pPr>
      <w:r>
        <w:t xml:space="preserve">How do I evaluate a single expression?</w:t>
      </w:r>
    </w:p>
    <w:p>
      <w:pPr>
        <w:pStyle w:val="SourceCode"/>
      </w:pPr>
      <w:r>
        <w:rPr>
          <w:rStyle w:val="ExtensionTok"/>
        </w:rPr>
        <w:t xml:space="preserve">cnx</w:t>
      </w:r>
      <w:r>
        <w:rPr>
          <w:rStyle w:val="NormalTok"/>
        </w:rPr>
        <w:t xml:space="preserve"> eval </w:t>
      </w:r>
      <w:r>
        <w:rPr>
          <w:rStyle w:val="StringTok"/>
        </w:rPr>
        <w:t xml:space="preserve">"mean([1, 2, 3, 4])"</w:t>
      </w:r>
    </w:p>
    <w:bookmarkEnd w:id="16"/>
    <w:bookmarkStart w:id="17" w:name="how-do-i-inspect-a-table"/>
    <w:p>
      <w:pPr>
        <w:pStyle w:val="Heading3"/>
      </w:pPr>
      <w:r>
        <w:t xml:space="preserve">How do I inspect a table?</w:t>
      </w:r>
    </w:p>
    <w:p>
      <w:pPr>
        <w:pStyle w:val="SourceCode"/>
      </w:pPr>
      <w:r>
        <w:rPr>
          <w:rStyle w:val="ExtensionTok"/>
        </w:rPr>
        <w:t xml:space="preserve">cnx</w:t>
      </w:r>
      <w:r>
        <w:rPr>
          <w:rStyle w:val="NormalTok"/>
        </w:rPr>
        <w:t xml:space="preserve"> eval </w:t>
      </w:r>
      <w:r>
        <w:rPr>
          <w:rStyle w:val="StringTok"/>
        </w:rPr>
        <w:t xml:space="preserve">'head(read_csv("examples/data/de_sample.csv"), 3)'</w:t>
      </w:r>
    </w:p>
    <w:p>
      <w:pPr>
        <w:pStyle w:val="FirstParagraph"/>
      </w:pPr>
      <w:r>
        <w:t xml:space="preserve">Or inside a program:</w:t>
      </w:r>
    </w:p>
    <w:p>
      <w:pPr>
        <w:pStyle w:val="SourceCode"/>
      </w:pPr>
      <w:r>
        <w:rPr>
          <w:rStyle w:val="VerbatimChar"/>
        </w:rPr>
        <w:t xml:space="preserve">let de = read_csv("examples/data/de_sample.csv")</w:t>
      </w:r>
      <w:r>
        <w:br/>
      </w:r>
      <w:r>
        <w:rPr>
          <w:rStyle w:val="VerbatimChar"/>
        </w:rPr>
        <w:t xml:space="preserve">print(head(de, 3))</w:t>
      </w:r>
      <w:r>
        <w:br/>
      </w:r>
      <w:r>
        <w:rPr>
          <w:rStyle w:val="VerbatimChar"/>
        </w:rPr>
        <w:t xml:space="preserve">print(select(de, "gene", "padj"))</w:t>
      </w:r>
    </w:p>
    <w:bookmarkEnd w:id="17"/>
    <w:bookmarkStart w:id="18" w:name="how-do-i-write-a-table"/>
    <w:p>
      <w:pPr>
        <w:pStyle w:val="Heading3"/>
      </w:pPr>
      <w:r>
        <w:t xml:space="preserve">How do I write a table?</w:t>
      </w:r>
    </w:p>
    <w:p>
      <w:pPr>
        <w:pStyle w:val="SourceCode"/>
      </w:pPr>
      <w:r>
        <w:rPr>
          <w:rStyle w:val="VerbatimChar"/>
        </w:rPr>
        <w:t xml:space="preserve">write_csv(hits, "hits.csv")</w:t>
      </w:r>
    </w:p>
    <w:bookmarkEnd w:id="18"/>
    <w:bookmarkStart w:id="19" w:name="why-does-a-b-c-fail"/>
    <w:p>
      <w:pPr>
        <w:pStyle w:val="Heading3"/>
      </w:pPr>
      <w:r>
        <w:t xml:space="preserve">Why does</w:t>
      </w:r>
      <w:r>
        <w:t xml:space="preserve"> </w:t>
      </w:r>
      <w:r>
        <w:rPr>
          <w:rStyle w:val="VerbatimChar"/>
        </w:rPr>
        <w:t xml:space="preserve">a &lt; b &lt; c</w:t>
      </w:r>
      <w:r>
        <w:t xml:space="preserve"> </w:t>
      </w:r>
      <w:r>
        <w:t xml:space="preserve">fail?</w:t>
      </w:r>
    </w:p>
    <w:p>
      <w:pPr>
        <w:pStyle w:val="FirstParagraph"/>
      </w:pPr>
      <w:r>
        <w:t xml:space="preserve">It parses as</w:t>
      </w:r>
      <w:r>
        <w:t xml:space="preserve"> </w:t>
      </w:r>
      <w:r>
        <w:rPr>
          <w:rStyle w:val="VerbatimChar"/>
        </w:rPr>
        <w:t xml:space="preserve">(a &lt; b) &lt; c</w:t>
      </w:r>
      <w:r>
        <w:t xml:space="preserve">. The left side is a boolean, and ordering a boolean against a</w:t>
      </w:r>
      <w:r>
        <w:t xml:space="preserve"> </w:t>
      </w:r>
      <w:r>
        <w:t xml:space="preserve">number is a type error. Write:</w:t>
      </w:r>
    </w:p>
    <w:p>
      <w:pPr>
        <w:pStyle w:val="SourceCode"/>
      </w:pPr>
      <w:r>
        <w:rPr>
          <w:rStyle w:val="VerbatimChar"/>
        </w:rPr>
        <w:t xml:space="preserve">a &lt; b &amp;&amp; b &lt; c</w:t>
      </w:r>
    </w:p>
    <w:bookmarkEnd w:id="19"/>
    <w:bookmarkStart w:id="20" w:name="why-is-a-f-b-a-syntax-error"/>
    <w:p>
      <w:pPr>
        <w:pStyle w:val="Heading3"/>
      </w:pPr>
      <w:r>
        <w:t xml:space="preserve">Why is</w:t>
      </w:r>
      <w:r>
        <w:t xml:space="preserve"> </w:t>
      </w:r>
      <w:r>
        <w:rPr>
          <w:rStyle w:val="VerbatimChar"/>
        </w:rPr>
        <w:t xml:space="preserve">a |&gt; f() || b</w:t>
      </w:r>
      <w:r>
        <w:t xml:space="preserve"> </w:t>
      </w:r>
      <w:r>
        <w:t xml:space="preserve">a syntax error?</w:t>
      </w:r>
    </w:p>
    <w:p>
      <w:pPr>
        <w:pStyle w:val="FirstParagraph"/>
      </w:pPr>
      <w:r>
        <w:t xml:space="preserve">The right side of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 </w:t>
      </w:r>
      <w:r>
        <w:t xml:space="preserve">is one postfix expression, so the pipe consumes</w:t>
      </w:r>
      <w:r>
        <w:t xml:space="preserve"> </w:t>
      </w:r>
      <w:r>
        <w:rPr>
          <w:rStyle w:val="VerbatimChar"/>
        </w:rPr>
        <w:t xml:space="preserve">f()</w:t>
      </w:r>
      <w:r>
        <w:t xml:space="preserve"> </w:t>
      </w:r>
      <w:r>
        <w:t xml:space="preserve">and stops.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|| b</w:t>
      </w:r>
      <w:r>
        <w:t xml:space="preserve"> </w:t>
      </w:r>
      <w:r>
        <w:t xml:space="preserve">is then left without a statement separator. Write:</w:t>
      </w:r>
    </w:p>
    <w:p>
      <w:pPr>
        <w:pStyle w:val="SourceCode"/>
      </w:pPr>
      <w:r>
        <w:rPr>
          <w:rStyle w:val="VerbatimChar"/>
        </w:rPr>
        <w:t xml:space="preserve">(a |&gt; f()) || b</w:t>
      </w:r>
    </w:p>
    <w:bookmarkEnd w:id="20"/>
    <w:bookmarkStart w:id="21" w:name="why-is-there-no-truthiness"/>
    <w:p>
      <w:pPr>
        <w:pStyle w:val="Heading3"/>
      </w:pPr>
      <w:r>
        <w:t xml:space="preserve">Why is there no truthiness?</w:t>
      </w:r>
    </w:p>
    <w:p>
      <w:pPr>
        <w:pStyle w:val="FirstParagraph"/>
      </w:pPr>
      <w:r>
        <w:rPr>
          <w:rStyle w:val="VerbatimChar"/>
        </w:rPr>
        <w:t xml:space="preserve">if 1 then ...</w:t>
      </w:r>
      <w:r>
        <w:t xml:space="preserve"> </w:t>
      </w:r>
      <w:r>
        <w:t xml:space="preserve">is rejected. R and Python disagree about which values are true; requiring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removes a class of silent bugs. Write an explicit comparison.</w:t>
      </w:r>
    </w:p>
    <w:bookmarkEnd w:id="21"/>
    <w:bookmarkStart w:id="22" w:name="why-are-numbers-all-floats"/>
    <w:p>
      <w:pPr>
        <w:pStyle w:val="Heading3"/>
      </w:pPr>
      <w:r>
        <w:t xml:space="preserve">Why are numbers all floats?</w:t>
      </w:r>
    </w:p>
    <w:p>
      <w:pPr>
        <w:pStyle w:val="FirstParagraph"/>
      </w:pPr>
      <w:r>
        <w:t xml:space="preserve">Phase 0 has one numeric type (</w:t>
      </w:r>
      <w:r>
        <w:rPr>
          <w:rStyle w:val="VerbatimChar"/>
        </w:rPr>
        <w:t xml:space="preserve">f64</w:t>
      </w:r>
      <w:r>
        <w:t xml:space="preserve">), which keeps arithmetic and JSON simple. JSON output</w:t>
      </w:r>
      <w:r>
        <w:t xml:space="preserve"> </w:t>
      </w:r>
      <w:r>
        <w:t xml:space="preserve">therefore shows integer-valued numbers as</w:t>
      </w:r>
      <w:r>
        <w:t xml:space="preserve"> </w:t>
      </w:r>
      <w:r>
        <w:rPr>
          <w:rStyle w:val="VerbatimChar"/>
        </w:rPr>
        <w:t xml:space="preserve">1.0</w:t>
      </w:r>
      <w:r>
        <w:t xml:space="preserve">. A distinction between integers and</w:t>
      </w:r>
      <w:r>
        <w:t xml:space="preserve"> </w:t>
      </w:r>
      <w:r>
        <w:t xml:space="preserve">floats is a candidate for the typed phase.</w:t>
      </w:r>
    </w:p>
    <w:bookmarkEnd w:id="22"/>
    <w:bookmarkStart w:id="23" w:name="how-do-i-get-the-number-of-rows"/>
    <w:p>
      <w:pPr>
        <w:pStyle w:val="Heading3"/>
      </w:pPr>
      <w:r>
        <w:t xml:space="preserve">How do I get the number of rows?</w:t>
      </w:r>
    </w:p>
    <w:p>
      <w:pPr>
        <w:pStyle w:val="FirstParagraph"/>
      </w:pPr>
      <w:r>
        <w:rPr>
          <w:rStyle w:val="VerbatimChar"/>
        </w:rPr>
        <w:t xml:space="preserve">length(table)</w:t>
      </w:r>
      <w:r>
        <w:t xml:space="preserve"> </w:t>
      </w:r>
      <w:r>
        <w:t xml:space="preserve">returns the row count.</w:t>
      </w:r>
      <w:r>
        <w:t xml:space="preserve"> </w:t>
      </w:r>
      <w:r>
        <w:rPr>
          <w:rStyle w:val="VerbatimChar"/>
        </w:rPr>
        <w:t xml:space="preserve">length(array)</w:t>
      </w:r>
      <w:r>
        <w:t xml:space="preserve"> </w:t>
      </w:r>
      <w:r>
        <w:t xml:space="preserve">returns the element count.</w:t>
      </w:r>
    </w:p>
    <w:bookmarkEnd w:id="23"/>
    <w:bookmarkStart w:id="24" w:name="how-do-i-count-rows-matching-a-condition"/>
    <w:p>
      <w:pPr>
        <w:pStyle w:val="Heading3"/>
      </w:pPr>
      <w:r>
        <w:t xml:space="preserve">How do I count rows matching a condition?</w:t>
      </w:r>
    </w:p>
    <w:p>
      <w:pPr>
        <w:pStyle w:val="SourceCode"/>
      </w:pPr>
      <w:r>
        <w:rPr>
          <w:rStyle w:val="VerbatimChar"/>
        </w:rPr>
        <w:t xml:space="preserve">count_where(de, "padj", "&lt;", 0.05)</w:t>
      </w:r>
    </w:p>
    <w:p>
      <w:pPr>
        <w:pStyle w:val="FirstParagraph"/>
      </w:pPr>
      <w:r>
        <w:t xml:space="preserve">The operator must be one of</w:t>
      </w:r>
      <w:r>
        <w:t xml:space="preserve"> </w:t>
      </w:r>
      <w:r>
        <w:rPr>
          <w:rStyle w:val="VerbatimChar"/>
        </w:rPr>
        <w:t xml:space="preserve">==</w:t>
      </w:r>
      <w:r>
        <w:t xml:space="preserve">,</w:t>
      </w:r>
      <w:r>
        <w:t xml:space="preserve"> </w:t>
      </w:r>
      <w:r>
        <w:rPr>
          <w:rStyle w:val="VerbatimChar"/>
        </w:rPr>
        <w:t xml:space="preserve">!=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, and it must be a string.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r-and-python"/>
    <w:p>
      <w:pPr>
        <w:pStyle w:val="Heading2"/>
      </w:pPr>
      <w:r>
        <w:t xml:space="preserve">R and Python</w:t>
      </w:r>
    </w:p>
    <w:bookmarkStart w:id="26" w:name="can-i-call-deseq2"/>
    <w:p>
      <w:pPr>
        <w:pStyle w:val="Heading3"/>
      </w:pPr>
      <w:r>
        <w:t xml:space="preserve">Can I call DESeq2?</w:t>
      </w:r>
    </w:p>
    <w:p>
      <w:pPr>
        <w:pStyle w:val="FirstParagraph"/>
      </w:pPr>
      <w:r>
        <w:t xml:space="preserve">Not as a first-class typed API yet. You can call simple R functions with</w:t>
      </w:r>
      <w:r>
        <w:t xml:space="preserve"> </w:t>
      </w:r>
      <w:r>
        <w:rPr>
          <w:rStyle w:val="VerbatimChar"/>
        </w:rPr>
        <w:t xml:space="preserve">r::call("package::function", args...)</w:t>
      </w:r>
      <w:r>
        <w:t xml:space="preserve">, but complex objects such as</w:t>
      </w:r>
      <w:r>
        <w:t xml:space="preserve"> </w:t>
      </w:r>
      <w:r>
        <w:rPr>
          <w:rStyle w:val="VerbatimChar"/>
        </w:rPr>
        <w:t xml:space="preserve">DESeqDataSet</w:t>
      </w:r>
      <w:r>
        <w:t xml:space="preserve"> </w:t>
      </w:r>
      <w:r>
        <w:t xml:space="preserve">cannot cross the JSON boundary. Typed wrappers are Phase 1 work.</w:t>
      </w:r>
    </w:p>
    <w:bookmarkEnd w:id="26"/>
    <w:bookmarkStart w:id="27" w:name="can-i-use-scikit-learn"/>
    <w:p>
      <w:pPr>
        <w:pStyle w:val="Heading3"/>
      </w:pPr>
      <w:r>
        <w:t xml:space="preserve">Can I use scikit-learn?</w:t>
      </w:r>
    </w:p>
    <w:p>
      <w:pPr>
        <w:pStyle w:val="FirstParagraph"/>
      </w:pPr>
      <w:r>
        <w:t xml:space="preserve">You can call plain functions and simple estimators through</w:t>
      </w:r>
      <w:r>
        <w:t xml:space="preserve"> </w:t>
      </w:r>
      <w:r>
        <w:rPr>
          <w:rStyle w:val="VerbatimChar"/>
        </w:rPr>
        <w:t xml:space="preserve">py::call</w:t>
      </w:r>
      <w:r>
        <w:t xml:space="preserve">, but returning a</w:t>
      </w:r>
      <w:r>
        <w:t xml:space="preserve"> </w:t>
      </w:r>
      <w:r>
        <w:t xml:space="preserve">fitted estimator object is not supported yet. Typed estimator wrappers and Arrow/DLPack</w:t>
      </w:r>
      <w:r>
        <w:t xml:space="preserve"> </w:t>
      </w:r>
      <w:r>
        <w:t xml:space="preserve">handoff are Phase 1–2.</w:t>
      </w:r>
    </w:p>
    <w:bookmarkEnd w:id="27"/>
    <w:bookmarkStart w:id="28" w:name="can-i-use-pytorch-or-a-gpu"/>
    <w:p>
      <w:pPr>
        <w:pStyle w:val="Heading3"/>
      </w:pPr>
      <w:r>
        <w:t xml:space="preserve">Can I use PyTorch or a GPU?</w:t>
      </w:r>
    </w:p>
    <w:p>
      <w:pPr>
        <w:pStyle w:val="FirstParagraph"/>
      </w:pPr>
      <w:r>
        <w:t xml:space="preserve">Not in Phase 0. GPU execution, DLPack handoff and the device scheduler are Phase 2.</w:t>
      </w:r>
      <w:r>
        <w:t xml:space="preserve"> </w:t>
      </w:r>
      <w:r>
        <w:rPr>
          <w:rStyle w:val="VerbatimChar"/>
        </w:rPr>
        <w:t xml:space="preserve">cnx doctor</w:t>
      </w:r>
      <w:r>
        <w:t xml:space="preserve"> </w:t>
      </w:r>
      <w:r>
        <w:t xml:space="preserve">already detects GPUs and plans the correct backend.</w:t>
      </w:r>
    </w:p>
    <w:bookmarkEnd w:id="28"/>
    <w:bookmarkStart w:id="29" w:name="why-does-my-gpu-show-compute-false"/>
    <w:p>
      <w:pPr>
        <w:pStyle w:val="Heading3"/>
      </w:pPr>
      <w:r>
        <w:t xml:space="preserve">Why does my GPU show</w:t>
      </w:r>
      <w:r>
        <w:t xml:space="preserve"> </w:t>
      </w:r>
      <w:r>
        <w:rPr>
          <w:rStyle w:val="VerbatimChar"/>
        </w:rPr>
        <w:t xml:space="preserve">compute: false</w:t>
      </w:r>
      <w:r>
        <w:t xml:space="preserve">?</w:t>
      </w:r>
    </w:p>
    <w:p>
      <w:pPr>
        <w:pStyle w:val="FirstParagraph"/>
      </w:pPr>
      <w:r>
        <w:t xml:space="preserve">The GPU is not usable for modern compute. A common case is an AMD</w:t>
      </w:r>
      <w:r>
        <w:t xml:space="preserve"> </w:t>
      </w:r>
      <w:r>
        <w:rPr>
          <w:rStyle w:val="VerbatimChar"/>
        </w:rPr>
        <w:t xml:space="preserve">gfx803</w:t>
      </w:r>
      <w:r>
        <w:t xml:space="preserve"> </w:t>
      </w:r>
      <w:r>
        <w:t xml:space="preserve">card, which</w:t>
      </w:r>
      <w:r>
        <w:t xml:space="preserve"> </w:t>
      </w:r>
      <w:r>
        <w:t xml:space="preserve">ROCm no longer supports. Connexon refuses to plan a stack that cannot run.</w:t>
      </w:r>
    </w:p>
    <w:bookmarkEnd w:id="29"/>
    <w:bookmarkStart w:id="30" w:name="why-is-each-rpython-call-slow"/>
    <w:p>
      <w:pPr>
        <w:pStyle w:val="Heading3"/>
      </w:pPr>
      <w:r>
        <w:t xml:space="preserve">Why is each R/Python call slow?</w:t>
      </w:r>
    </w:p>
    <w:p>
      <w:pPr>
        <w:pStyle w:val="FirstParagraph"/>
      </w:pPr>
      <w:r>
        <w:t xml:space="preserve">Each call starts a new interpreter. That is the price of isolation and portability.</w:t>
      </w:r>
      <w:r>
        <w:t xml:space="preserve"> </w:t>
      </w:r>
      <w:r>
        <w:t xml:space="preserve">Phase 1 adds Arrow IPC and batched calls; keep calls coarse-grained until then.</w:t>
      </w:r>
    </w:p>
    <w:bookmarkEnd w:id="30"/>
    <w:bookmarkStart w:id="31" w:name="can-i-pass-a-dataframe-or-a-tensor"/>
    <w:p>
      <w:pPr>
        <w:pStyle w:val="Heading3"/>
      </w:pPr>
      <w:r>
        <w:t xml:space="preserve">Can I pass a DataFrame or a tensor?</w:t>
      </w:r>
    </w:p>
    <w:p>
      <w:pPr>
        <w:pStyle w:val="FirstParagraph"/>
      </w:pPr>
      <w:r>
        <w:t xml:space="preserve">Not yet. Scalars, vectors, records and arrays of records are supported. DataFrames,</w:t>
      </w:r>
      <w:r>
        <w:t xml:space="preserve"> </w:t>
      </w:r>
      <w:r>
        <w:t xml:space="preserve">AnnData objects and tensors need the Phase 1–2 adapters.</w:t>
      </w:r>
    </w:p>
    <w:bookmarkEnd w:id="31"/>
    <w:bookmarkStart w:id="32" w:name="Xd1352703d3319c011d9e1326a5795fbbf11a124"/>
    <w:p>
      <w:pPr>
        <w:pStyle w:val="Heading3"/>
      </w:pPr>
      <w:r>
        <w:t xml:space="preserve">Why is</w:t>
      </w:r>
      <w:r>
        <w:t xml:space="preserve"> </w:t>
      </w:r>
      <w:r>
        <w:rPr>
          <w:rStyle w:val="VerbatimChar"/>
        </w:rPr>
        <w:t xml:space="preserve">r::call("mean", x)</w:t>
      </w:r>
      <w:r>
        <w:t xml:space="preserve"> </w:t>
      </w:r>
      <w:r>
        <w:t xml:space="preserve">not returning what I expect?</w:t>
      </w:r>
    </w:p>
    <w:p>
      <w:pPr>
        <w:pStyle w:val="FirstParagraph"/>
      </w:pPr>
      <w:r>
        <w:t xml:space="preserve">Check the value being passed. A Connexon array becomes an R vector; a record becomes a</w:t>
      </w:r>
      <w:r>
        <w:t xml:space="preserve"> </w:t>
      </w:r>
      <w:r>
        <w:t xml:space="preserve">named list. For package functions, use</w:t>
      </w:r>
      <w:r>
        <w:t xml:space="preserve"> </w:t>
      </w:r>
      <w:r>
        <w:rPr>
          <w:rStyle w:val="VerbatimChar"/>
        </w:rPr>
        <w:t xml:space="preserve">"package::function"</w:t>
      </w:r>
      <w:r>
        <w:t xml:space="preserve">. Test the same call in R</w:t>
      </w:r>
      <w:r>
        <w:t xml:space="preserve"> </w:t>
      </w:r>
      <w:r>
        <w:t xml:space="preserve">first to isolate the problem.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project"/>
    <w:p>
      <w:pPr>
        <w:pStyle w:val="Heading2"/>
      </w:pPr>
      <w:r>
        <w:t xml:space="preserve">Project</w:t>
      </w:r>
    </w:p>
    <w:bookmarkStart w:id="34" w:name="why-is-the-cli-called-cnx"/>
    <w:p>
      <w:pPr>
        <w:pStyle w:val="Heading3"/>
      </w:pPr>
      <w:r>
        <w:t xml:space="preserve">Why is the CLI called</w:t>
      </w:r>
      <w:r>
        <w:t xml:space="preserve"> </w:t>
      </w:r>
      <w:r>
        <w:rPr>
          <w:rStyle w:val="VerbatimChar"/>
        </w:rPr>
        <w:t xml:space="preserve">cnx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cnx</w:t>
      </w:r>
      <w:r>
        <w:t xml:space="preserve"> </w:t>
      </w:r>
      <w:r>
        <w:t xml:space="preserve">is short to type and avoids colliding with an existing</w:t>
      </w:r>
      <w:r>
        <w:t xml:space="preserve"> </w:t>
      </w:r>
      <w:r>
        <w:rPr>
          <w:rStyle w:val="VerbatimChar"/>
        </w:rPr>
        <w:t xml:space="preserve">connexon</w:t>
      </w:r>
      <w:r>
        <w:t xml:space="preserve"> </w:t>
      </w:r>
      <w:r>
        <w:t xml:space="preserve">command. The</w:t>
      </w:r>
      <w:r>
        <w:t xml:space="preserve"> </w:t>
      </w:r>
      <w:r>
        <w:t xml:space="preserve">project, language and file extension remain</w:t>
      </w:r>
      <w:r>
        <w:t xml:space="preserve"> </w:t>
      </w:r>
      <w:r>
        <w:rPr>
          <w:rStyle w:val="VerbatimChar"/>
        </w:rPr>
        <w:t xml:space="preserve">Connexon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.cnx</w:t>
      </w:r>
      <w:r>
        <w:t xml:space="preserve">.</w:t>
      </w:r>
    </w:p>
    <w:bookmarkEnd w:id="34"/>
    <w:bookmarkStart w:id="35" w:name="how-do-i-cite-connexon"/>
    <w:p>
      <w:pPr>
        <w:pStyle w:val="Heading3"/>
      </w:pPr>
      <w:r>
        <w:t xml:space="preserve">How do I cite Connexon?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CITATION.cff</w:t>
      </w:r>
      <w:r>
        <w:t xml:space="preserve"> </w:t>
      </w:r>
      <w:r>
        <w:t xml:space="preserve">or the BibTeX entry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bookmarkEnd w:id="35"/>
    <w:bookmarkStart w:id="36" w:name="how-do-i-contribute"/>
    <w:p>
      <w:pPr>
        <w:pStyle w:val="Heading3"/>
      </w:pPr>
      <w:r>
        <w:t xml:space="preserve">How do I contribute?</w:t>
      </w:r>
    </w:p>
    <w:p>
      <w:pPr>
        <w:pStyle w:val="FirstParagraph"/>
      </w:pPr>
      <w:r>
        <w:t xml:space="preserve">Read</w:t>
      </w:r>
      <w:r>
        <w:t xml:space="preserve"> </w:t>
      </w:r>
      <w:r>
        <w:rPr>
          <w:rStyle w:val="VerbatimChar"/>
        </w:rPr>
        <w:t xml:space="preserve">docs/DEVELOPER_GUIDE.md</w:t>
      </w:r>
      <w:r>
        <w:t xml:space="preserve">, run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, and add a test for every behaviour</w:t>
      </w:r>
      <w:r>
        <w:t xml:space="preserve"> </w:t>
      </w:r>
      <w:r>
        <w:t xml:space="preserve">change. Keep R and Python process-isolated.</w:t>
      </w:r>
    </w:p>
    <w:bookmarkEnd w:id="36"/>
    <w:bookmarkStart w:id="37" w:name="where-are-the-design-decisions-recorded"/>
    <w:p>
      <w:pPr>
        <w:pStyle w:val="Heading3"/>
      </w:pPr>
      <w:r>
        <w:t xml:space="preserve">Where are the design decisions recorded?</w:t>
      </w:r>
    </w:p>
    <w:p>
      <w:pPr>
        <w:pStyle w:val="FirstParagraph"/>
      </w:pPr>
      <w:r>
        <w:rPr>
          <w:rStyle w:val="VerbatimChar"/>
        </w:rPr>
        <w:t xml:space="preserve">docs/DESIGN.md</w:t>
      </w:r>
      <w:r>
        <w:t xml:space="preserve"> </w:t>
      </w:r>
      <w:r>
        <w:t xml:space="preserve">records the architecture decisions: process isolation, JSON now and</w:t>
      </w:r>
      <w:r>
        <w:t xml:space="preserve"> </w:t>
      </w:r>
      <w:r>
        <w:t xml:space="preserve">Arrow later, one parallelism level, the installer as a planner, platform artifacts, and</w:t>
      </w:r>
      <w:r>
        <w:t xml:space="preserve"> </w:t>
      </w:r>
      <w:r>
        <w:t xml:space="preserve">the AI broker.</w:t>
      </w:r>
    </w:p>
    <w:bookmarkEnd w:id="37"/>
    <w:bookmarkStart w:id="38" w:name="what-is-planned-next"/>
    <w:p>
      <w:pPr>
        <w:pStyle w:val="Heading3"/>
      </w:pPr>
      <w:r>
        <w:t xml:space="preserve">What is planned next?</w:t>
      </w:r>
    </w:p>
    <w:p>
      <w:pPr>
        <w:pStyle w:val="FirstParagraph"/>
      </w:pPr>
      <w:r>
        <w:t xml:space="preserve">Arrow IPC and Parquet, typed wrappers for DESeq2 and scikit-learn, a lockfile, GPU</w:t>
      </w:r>
      <w:r>
        <w:t xml:space="preserve"> </w:t>
      </w:r>
      <w:r>
        <w:t xml:space="preserve">execution with CUDA/ROCm, and an AI broker. See</w:t>
      </w:r>
      <w:r>
        <w:t xml:space="preserve"> </w:t>
      </w:r>
      <w:r>
        <w:rPr>
          <w:rStyle w:val="VerbatimChar"/>
        </w:rPr>
        <w:t xml:space="preserve">docs/ROADMAP.md</w:t>
      </w:r>
      <w:r>
        <w:t xml:space="preserve">.</w:t>
      </w:r>
    </w:p>
    <w:bookmarkEnd w:id="38"/>
    <w:bookmarkStart w:id="39" w:name="is-the-license-mit"/>
    <w:p>
      <w:pPr>
        <w:pStyle w:val="Heading3"/>
      </w:pPr>
      <w:r>
        <w:t xml:space="preserve">Is the license MIT?</w:t>
      </w:r>
    </w:p>
    <w:p>
      <w:pPr>
        <w:pStyle w:val="FirstParagraph"/>
      </w:pPr>
      <w:r>
        <w:t xml:space="preserve">Yes. See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.</w:t>
      </w:r>
    </w:p>
    <w:bookmarkEnd w:id="39"/>
    <w:bookmarkEnd w:id="40"/>
    <w:bookmarkEnd w:id="41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Times New Roman" w:cs="Times New Roman" w:eastAsia="FangSong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Times New Roman" w:asciiTheme="majorHAnsi" w:cs="Times New Roman" w:cstheme="majorBidi" w:eastAsia="FangSong" w:eastAsiaTheme="majorEastAsia" w:hAnsi="Times New Roman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Times New Roman" w:asciiTheme="majorHAnsi" w:cs="Times New Roman" w:cstheme="majorBidi" w:eastAsia="FangSong" w:eastAsiaTheme="majorEastAsia" w:hAnsi="Times New Roman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Times New Roman" w:asciiTheme="majorHAnsi" w:cs="Times New Roman" w:cstheme="majorBidi" w:eastAsia="FangSong" w:eastAsiaTheme="majorEastAsia" w:hAnsi="Times New Roman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Times New Roman" w:asciiTheme="majorHAnsi" w:cs="Times New Roman" w:cstheme="majorBidi" w:eastAsia="FangSong" w:eastAsiaTheme="majorEastAsia" w:hAnsi="Times New Roman" w:hAnsiTheme="majorHAnsi"/>
      <w:b/>
      <w:color w:themeColor="text2" w:themeShade="BF" w:val="17365D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asciiTheme="majorHAnsi" w:cs="Times New Roman" w:cstheme="majorBidi" w:eastAsia="FangSong" w:eastAsiaTheme="majorEastAsia" w:hAnsi="Times New Roman" w:hAnsiTheme="majorHAnsi"/>
      <w:b/>
      <w:i/>
      <w:iCs/>
      <w:color w:themeColor="accent1" w:val="4F81BD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VerbatimChar" w:type="character">
    <w:name w:val="Verbatim Char"/>
    <w:rPr>
      <w:rFonts w:ascii="Consolas" w:cs="Consolas" w:eastAsia="FangSong" w:hAnsi="Consolas"/>
      <w:color w:val="FF0000"/>
      <w:sz w:val="20"/>
    </w:rPr>
  </w:style>
  <w:style w:customStyle="1" w:styleId="SourceCode" w:type="paragraph">
    <w:name w:val="Source Code"/>
    <w:pPr>
      <w:spacing w:after="80" w:line="240" w:lineRule="auto"/>
    </w:pPr>
    <w:rPr>
      <w:rFonts w:ascii="Consolas" w:cs="Consolas" w:eastAsia="FangSong" w:hAnsi="Consolas"/>
      <w:color w:val="FF0000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2026-10-19T09:53:05Z</dcterms:created>
  <dcterms:modified xsi:type="dcterms:W3CDTF">2026-10-19T09:53:05Z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