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he-connexon-language"/>
    <w:p>
      <w:pPr>
        <w:pStyle w:val="Heading1"/>
      </w:pPr>
      <w:r>
        <w:t xml:space="preserve">The Connexon language</w:t>
      </w:r>
    </w:p>
    <w:p>
      <w:pPr>
        <w:pStyle w:val="FirstParagraph"/>
      </w:pPr>
      <w:r>
        <w:t xml:space="preserve">Connexon is a small, expression-oriented language for composing data analysis. It is statically parseable, dynamically typed in Phase 0, and designed to become gradually typed.</w:t>
      </w:r>
    </w:p>
    <w:bookmarkStart w:id="9" w:name="lexical-structure"/>
    <w:p>
      <w:pPr>
        <w:pStyle w:val="Heading2"/>
      </w:pPr>
      <w:r>
        <w:t xml:space="preserve">Lexical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Comments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and run to the end of the 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Identifiers</w:t>
      </w:r>
      <w:r>
        <w:t xml:space="preserve"> </w:t>
      </w:r>
      <w:r>
        <w:t xml:space="preserve">match</w:t>
      </w:r>
      <w:r>
        <w:t xml:space="preserve"> </w:t>
      </w:r>
      <w:r>
        <w:rPr>
          <w:rStyle w:val="VerbatimChar"/>
        </w:rPr>
        <w:t xml:space="preserve">[A-Za-z_][A-Za-z0-9_]*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Numbers</w:t>
      </w:r>
      <w:r>
        <w:t xml:space="preserve"> </w:t>
      </w:r>
      <w:r>
        <w:t xml:space="preserve">are 64-bit floats, including exponent notation (</w:t>
      </w:r>
      <w:r>
        <w:rPr>
          <w:rStyle w:val="VerbatimChar"/>
        </w:rPr>
        <w:t xml:space="preserve">1.5e-9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Strings</w:t>
      </w:r>
      <w:r>
        <w:t xml:space="preserve"> </w:t>
      </w:r>
      <w:r>
        <w:t xml:space="preserve">use double quotes and support</w:t>
      </w:r>
      <w:r>
        <w:t xml:space="preserve"> </w:t>
      </w:r>
      <w:r>
        <w:rPr>
          <w:rStyle w:val="VerbatimChar"/>
        </w:rPr>
        <w:t xml:space="preserve">\n</w:t>
      </w:r>
      <w:r>
        <w:t xml:space="preserve">,</w:t>
      </w:r>
      <w:r>
        <w:t xml:space="preserve"> </w:t>
      </w:r>
      <w:r>
        <w:rPr>
          <w:rStyle w:val="VerbatimChar"/>
        </w:rPr>
        <w:t xml:space="preserve">\t</w:t>
      </w:r>
      <w:r>
        <w:t xml:space="preserve">,</w:t>
      </w:r>
      <w:r>
        <w:t xml:space="preserve"> </w:t>
      </w:r>
      <w:r>
        <w:rPr>
          <w:rStyle w:val="VerbatimChar"/>
        </w:rPr>
        <w:t xml:space="preserve">\r</w:t>
      </w:r>
      <w:r>
        <w:t xml:space="preserve">,</w:t>
      </w:r>
      <w:r>
        <w:t xml:space="preserve"> </w:t>
      </w:r>
      <w:r>
        <w:rPr>
          <w:rStyle w:val="VerbatimChar"/>
        </w:rPr>
        <w:t xml:space="preserve">\\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Statements</w:t>
      </w:r>
      <w:r>
        <w:t xml:space="preserve"> </w:t>
      </w:r>
      <w:r>
        <w:t xml:space="preserve">are separated by newlines or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bookmarkEnd w:id="9"/>
    <w:bookmarkStart w:id="10" w:name="formal-grammar-ebnf"/>
    <w:p>
      <w:pPr>
        <w:pStyle w:val="Heading2"/>
      </w:pPr>
      <w:r>
        <w:t xml:space="preserve">Formal grammar (EBNF)</w:t>
      </w:r>
    </w:p>
    <w:p>
      <w:pPr>
        <w:pStyle w:val="FirstParagraph"/>
      </w:pPr>
      <w:r>
        <w:t xml:space="preserve">Notation:</w:t>
      </w:r>
      <w:r>
        <w:t xml:space="preserve"> </w:t>
      </w:r>
      <w:r>
        <w:rPr>
          <w:rStyle w:val="VerbatimChar"/>
        </w:rPr>
        <w:t xml:space="preserve">{ x }</w:t>
      </w:r>
      <w:r>
        <w:t xml:space="preserve"> </w:t>
      </w:r>
      <w:r>
        <w:t xml:space="preserve">is zero or more,</w:t>
      </w:r>
      <w:r>
        <w:t xml:space="preserve"> </w:t>
      </w:r>
      <w:r>
        <w:rPr>
          <w:rStyle w:val="VerbatimChar"/>
        </w:rPr>
        <w:t xml:space="preserve">[ x ]</w:t>
      </w:r>
      <w:r>
        <w:t xml:space="preserve"> </w:t>
      </w:r>
      <w:r>
        <w:t xml:space="preserve">is optional, and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separates alternatives.</w:t>
      </w:r>
    </w:p>
    <w:p>
      <w:pPr>
        <w:pStyle w:val="SourceCode"/>
      </w:pPr>
      <w:r>
        <w:rPr>
          <w:rStyle w:val="VerbatimChar"/>
        </w:rPr>
        <w:t xml:space="preserve">program        = { separator } , [ statement , { separator , statement } ] , { separator } ;</w:t>
      </w:r>
      <w:r>
        <w:br/>
      </w:r>
      <w:r>
        <w:rPr>
          <w:rStyle w:val="VerbatimChar"/>
        </w:rPr>
        <w:t xml:space="preserve">separator      = newline | ";" ;</w:t>
      </w:r>
      <w:r>
        <w:br/>
      </w:r>
      <w:r>
        <w:rPr>
          <w:rStyle w:val="VerbatimChar"/>
        </w:rPr>
        <w:t xml:space="preserve">statement      = let_stmt | fn_def | expression ;</w:t>
      </w:r>
      <w:r>
        <w:br/>
      </w:r>
      <w:r>
        <w:rPr>
          <w:rStyle w:val="VerbatimChar"/>
        </w:rPr>
        <w:t xml:space="preserve">let_stmt       = "let" , identifier , "=" , expression ;</w:t>
      </w:r>
      <w:r>
        <w:br/>
      </w:r>
      <w:r>
        <w:rPr>
          <w:rStyle w:val="VerbatimChar"/>
        </w:rPr>
        <w:t xml:space="preserve">fn_def         = "fn" , identifier , "(" , [ identifier , { "," , identifier } ] , ")" , "=" , expression ;</w:t>
      </w:r>
      <w:r>
        <w:br/>
      </w:r>
      <w:r>
        <w:rPr>
          <w:rStyle w:val="VerbatimChar"/>
        </w:rPr>
        <w:t xml:space="preserve">expression     = pipe ;</w:t>
      </w:r>
      <w:r>
        <w:br/>
      </w:r>
      <w:r>
        <w:rPr>
          <w:rStyle w:val="VerbatimChar"/>
        </w:rPr>
        <w:t xml:space="preserve">pipe           = or , { "|&gt;" , postfix } ;</w:t>
      </w:r>
      <w:r>
        <w:br/>
      </w:r>
      <w:r>
        <w:rPr>
          <w:rStyle w:val="VerbatimChar"/>
        </w:rPr>
        <w:t xml:space="preserve">or             = and , { ( "||" | "or" ) , and } ;</w:t>
      </w:r>
      <w:r>
        <w:br/>
      </w:r>
      <w:r>
        <w:rPr>
          <w:rStyle w:val="VerbatimChar"/>
        </w:rPr>
        <w:t xml:space="preserve">and            = comparison , { ( "&amp;&amp;" | "and" ) , comparison } ;</w:t>
      </w:r>
      <w:r>
        <w:br/>
      </w:r>
      <w:r>
        <w:rPr>
          <w:rStyle w:val="VerbatimChar"/>
        </w:rPr>
        <w:t xml:space="preserve">comparison     = additive , { ( "==" | "!=" | "&lt;" | "&lt;=" | "&gt;" | "&gt;=" ) , additive } ;</w:t>
      </w:r>
      <w:r>
        <w:br/>
      </w:r>
      <w:r>
        <w:rPr>
          <w:rStyle w:val="VerbatimChar"/>
        </w:rPr>
        <w:t xml:space="preserve">additive       = multiplicative , { ( "+" | "-" ) , multiplicative } ;</w:t>
      </w:r>
      <w:r>
        <w:br/>
      </w:r>
      <w:r>
        <w:rPr>
          <w:rStyle w:val="VerbatimChar"/>
        </w:rPr>
        <w:t xml:space="preserve">multiplicative = unary , { ( "*" | "/" | "%" ) , unary } ;</w:t>
      </w:r>
      <w:r>
        <w:br/>
      </w:r>
      <w:r>
        <w:rPr>
          <w:rStyle w:val="VerbatimChar"/>
        </w:rPr>
        <w:t xml:space="preserve">unary          = ( "-" | "!" | "not" ) , unary | postfix ;</w:t>
      </w:r>
      <w:r>
        <w:br/>
      </w:r>
      <w:r>
        <w:rPr>
          <w:rStyle w:val="VerbatimChar"/>
        </w:rPr>
        <w:t xml:space="preserve">postfix        = primary , { call | field } ;</w:t>
      </w:r>
      <w:r>
        <w:br/>
      </w:r>
      <w:r>
        <w:rPr>
          <w:rStyle w:val="VerbatimChar"/>
        </w:rPr>
        <w:t xml:space="preserve">call           = "(" , [ argument , { "," , argument } , [ "," ] ] , ")" ;</w:t>
      </w:r>
      <w:r>
        <w:br/>
      </w:r>
      <w:r>
        <w:rPr>
          <w:rStyle w:val="VerbatimChar"/>
        </w:rPr>
        <w:t xml:space="preserve">field          = "." , identifier ;</w:t>
      </w:r>
      <w:r>
        <w:br/>
      </w:r>
      <w:r>
        <w:rPr>
          <w:rStyle w:val="VerbatimChar"/>
        </w:rPr>
        <w:t xml:space="preserve">argument       = expression | identifier , ":" , expression ;</w:t>
      </w:r>
      <w:r>
        <w:br/>
      </w:r>
      <w:r>
        <w:rPr>
          <w:rStyle w:val="VerbatimChar"/>
        </w:rPr>
        <w:t xml:space="preserve">primary        = number | string | "true" | "false" | "null"</w:t>
      </w:r>
      <w:r>
        <w:br/>
      </w:r>
      <w:r>
        <w:rPr>
          <w:rStyle w:val="VerbatimChar"/>
        </w:rPr>
        <w:t xml:space="preserve">               | identifier , "::" , identifier , call</w:t>
      </w:r>
      <w:r>
        <w:br/>
      </w:r>
      <w:r>
        <w:rPr>
          <w:rStyle w:val="VerbatimChar"/>
        </w:rPr>
        <w:t xml:space="preserve">               | identifier , [ call ]</w:t>
      </w:r>
      <w:r>
        <w:br/>
      </w:r>
      <w:r>
        <w:rPr>
          <w:rStyle w:val="VerbatimChar"/>
        </w:rPr>
        <w:t xml:space="preserve">               | "(" , expression , ")"</w:t>
      </w:r>
      <w:r>
        <w:br/>
      </w:r>
      <w:r>
        <w:rPr>
          <w:rStyle w:val="VerbatimChar"/>
        </w:rPr>
        <w:t xml:space="preserve">               | "[" , [ expression , { "," , expression } , [ "," ] ] , "]"</w:t>
      </w:r>
      <w:r>
        <w:br/>
      </w:r>
      <w:r>
        <w:rPr>
          <w:rStyle w:val="VerbatimChar"/>
        </w:rPr>
        <w:t xml:space="preserve">               | "{" , [ field_pair , { "," , field_pair } , [ "," ] ] , "}"</w:t>
      </w:r>
      <w:r>
        <w:br/>
      </w:r>
      <w:r>
        <w:rPr>
          <w:rStyle w:val="VerbatimChar"/>
        </w:rPr>
        <w:t xml:space="preserve">               | "if" , expression , "then" , expression , "else" , expression ;</w:t>
      </w:r>
      <w:r>
        <w:br/>
      </w:r>
      <w:r>
        <w:rPr>
          <w:rStyle w:val="VerbatimChar"/>
        </w:rPr>
        <w:t xml:space="preserve">field_pair     = ( identifier | string ) , ":" , expression ;</w:t>
      </w:r>
    </w:p>
    <w:p>
      <w:pPr>
        <w:pStyle w:val="FirstParagraph"/>
      </w:pPr>
      <w:r>
        <w:t xml:space="preserve">Layout consequences:</w:t>
      </w:r>
    </w:p>
    <w:p>
      <w:pPr>
        <w:pStyle w:val="Compact"/>
        <w:numPr>
          <w:ilvl w:val="0"/>
          <w:numId w:val="1002"/>
        </w:numPr>
      </w:pPr>
      <w:r>
        <w:t xml:space="preserve">A statement must be followed by a newline or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unless it is the last statement.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are statements, so they cannot appear inside an expression or after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trailing comma is accepted in arrays, records and call arguments.</w:t>
      </w:r>
    </w:p>
    <w:bookmarkEnd w:id="10"/>
    <w:bookmarkStart w:id="11" w:name="values"/>
    <w:p>
      <w:pPr>
        <w:pStyle w:val="Heading2"/>
      </w:pPr>
      <w:r>
        <w:t xml:space="preserve">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1.2e-28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"GENE0001"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 2, 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{gene: "G1", padj: 0.01}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the result of</w:t>
            </w:r>
            <w:r>
              <w:t xml:space="preserve"> </w:t>
            </w:r>
            <w:r>
              <w:rPr>
                <w:rStyle w:val="VerbatimChar"/>
              </w:rPr>
              <w:t xml:space="preserve">read_csv(...)</w:t>
            </w:r>
          </w:p>
        </w:tc>
      </w:tr>
    </w:tbl>
    <w:p>
      <w:pPr>
        <w:pStyle w:val="BodyText"/>
      </w:pPr>
      <w:r>
        <w:t xml:space="preserve">Tables are first-class: CSV columns are typed by inference (</w:t>
      </w:r>
      <w:r>
        <w:rPr>
          <w:rStyle w:val="VerbatimChar"/>
        </w:rPr>
        <w:t xml:space="preserve">null</w:t>
      </w:r>
      <w:r>
        <w:t xml:space="preserve">, bool, number, string), and a table prints as an aligned preview.</w:t>
      </w:r>
    </w:p>
    <w:bookmarkEnd w:id="11"/>
    <w:bookmarkStart w:id="14" w:name="statements"/>
    <w:p>
      <w:pPr>
        <w:pStyle w:val="Heading2"/>
      </w:pPr>
      <w:r>
        <w:t xml:space="preserve">Statements</w:t>
      </w:r>
    </w:p>
    <w:bookmarkStart w:id="12" w:name="let-binding"/>
    <w:p>
      <w:pPr>
        <w:pStyle w:val="Heading3"/>
      </w:pPr>
      <w:r>
        <w:t xml:space="preserve">Let binding</w:t>
      </w:r>
    </w:p>
    <w:p>
      <w:pPr>
        <w:pStyle w:val="SourceCode"/>
      </w:pPr>
      <w:r>
        <w:rPr>
          <w:rStyle w:val="VerbatimChar"/>
        </w:rPr>
        <w:t xml:space="preserve">let values = [1, 2, 3, 4, 5]</w:t>
      </w:r>
      <w:r>
        <w:br/>
      </w:r>
      <w:r>
        <w:rPr>
          <w:rStyle w:val="VerbatimChar"/>
        </w:rPr>
        <w:t xml:space="preserve">let average = mean(values)</w:t>
      </w:r>
    </w:p>
    <w:bookmarkEnd w:id="12"/>
    <w:bookmarkStart w:id="13" w:name="function-definition"/>
    <w:p>
      <w:pPr>
        <w:pStyle w:val="Heading3"/>
      </w:pPr>
      <w:r>
        <w:t xml:space="preserve">Function definition</w:t>
      </w:r>
    </w:p>
    <w:p>
      <w:pPr>
        <w:pStyle w:val="SourceCode"/>
      </w:pPr>
      <w:r>
        <w:rPr>
          <w:rStyle w:val="VerbatimChar"/>
        </w:rPr>
        <w:t xml:space="preserve">fn add(a, b) = a + b</w:t>
      </w:r>
      <w:r>
        <w:br/>
      </w:r>
      <w:r>
        <w:rPr>
          <w:rStyle w:val="VerbatimChar"/>
        </w:rPr>
        <w:t xml:space="preserve">fn square(x) = x * x</w:t>
      </w:r>
      <w:r>
        <w:br/>
      </w:r>
      <w:r>
        <w:rPr>
          <w:rStyle w:val="VerbatimChar"/>
        </w:rPr>
        <w:t xml:space="preserve">let result = square(add(2, 3))</w:t>
      </w:r>
    </w:p>
    <w:p>
      <w:pPr>
        <w:pStyle w:val="FirstParagraph"/>
      </w:pPr>
      <w:r>
        <w:t xml:space="preserve">Functions are expressions with lexical scope over globals. They take positional arguments only.</w:t>
      </w:r>
    </w:p>
    <w:bookmarkEnd w:id="13"/>
    <w:bookmarkEnd w:id="14"/>
    <w:bookmarkStart w:id="20" w:name="expressions"/>
    <w:p>
      <w:pPr>
        <w:pStyle w:val="Heading2"/>
      </w:pPr>
      <w:r>
        <w:t xml:space="preserve">Expressions</w:t>
      </w:r>
    </w:p>
    <w:bookmarkStart w:id="15" w:name="arithmetic-and-comparison"/>
    <w:p>
      <w:pPr>
        <w:pStyle w:val="Heading3"/>
      </w:pPr>
      <w:r>
        <w:t xml:space="preserve">Arithmetic and comparison</w:t>
      </w:r>
    </w:p>
    <w:p>
      <w:pPr>
        <w:pStyle w:val="SourceCode"/>
      </w:pPr>
      <w:r>
        <w:rPr>
          <w:rStyle w:val="VerbatimChar"/>
        </w:rPr>
        <w:t xml:space="preserve">1 + 2 * 3          # 7</w:t>
      </w:r>
      <w:r>
        <w:br/>
      </w:r>
      <w:r>
        <w:rPr>
          <w:rStyle w:val="VerbatimChar"/>
        </w:rPr>
        <w:t xml:space="preserve">(1 + 2) * 3        # 9</w:t>
      </w:r>
      <w:r>
        <w:br/>
      </w:r>
      <w:r>
        <w:rPr>
          <w:rStyle w:val="VerbatimChar"/>
        </w:rPr>
        <w:t xml:space="preserve">10 / 4             # 2.5</w:t>
      </w:r>
      <w:r>
        <w:br/>
      </w:r>
      <w:r>
        <w:rPr>
          <w:rStyle w:val="VerbatimChar"/>
        </w:rPr>
        <w:t xml:space="preserve">10 % 3             # 1</w:t>
      </w:r>
      <w:r>
        <w:br/>
      </w:r>
      <w:r>
        <w:rPr>
          <w:rStyle w:val="VerbatimChar"/>
        </w:rPr>
        <w:t xml:space="preserve">2 &gt; 1 &amp;&amp; 3 &lt;= 4    # true</w:t>
      </w:r>
    </w:p>
    <w:p>
      <w:pPr>
        <w:pStyle w:val="FirstParagraph"/>
      </w:pPr>
      <w:r>
        <w:rPr>
          <w:rStyle w:val="VerbatimChar"/>
        </w:rPr>
        <w:t xml:space="preserve">+</w:t>
      </w:r>
      <w:r>
        <w:t xml:space="preserve"> </w:t>
      </w:r>
      <w:r>
        <w:t xml:space="preserve">also concatenates two strings or two arrays.</w:t>
      </w:r>
    </w:p>
    <w:bookmarkEnd w:id="15"/>
    <w:bookmarkStart w:id="16" w:name="operator-precedence"/>
    <w:p>
      <w:pPr>
        <w:pStyle w:val="Heading3"/>
      </w:pPr>
      <w:r>
        <w:t xml:space="preserve">Operator precedence</w:t>
      </w:r>
    </w:p>
    <w:p>
      <w:pPr>
        <w:pStyle w:val="FirstParagraph"/>
      </w:pPr>
      <w:r>
        <w:t xml:space="preserve">From tightest to loosest: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Associativity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(...)</w:t>
            </w:r>
            <w:r>
              <w:t xml:space="preserve">, field</w:t>
            </w:r>
            <w:r>
              <w:t xml:space="preserve"> </w:t>
            </w:r>
            <w:r>
              <w:rPr>
                <w:rStyle w:val="VerbatimChar"/>
              </w:rPr>
              <w:t xml:space="preserve">.name</w:t>
            </w:r>
          </w:p>
        </w:tc>
        <w:tc>
          <w:tcPr/>
          <w:p>
            <w:pPr>
              <w:pStyle w:val="Compact"/>
            </w:pPr>
            <w:r>
              <w:t xml:space="preserve">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unary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</w:t>
            </w:r>
          </w:p>
        </w:tc>
        <w:tc>
          <w:tcPr/>
          <w:p>
            <w:pPr>
              <w:pStyle w:val="Compact"/>
            </w:pPr>
            <w:r>
              <w:t xml:space="preserve">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</w:pPr>
            <w:r>
              <w:t xml:space="preserve">left (see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&amp;&amp;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and</w:t>
            </w:r>
          </w:p>
        </w:tc>
        <w:tc>
          <w:tcPr/>
          <w:p>
            <w:pPr>
              <w:pStyle w:val="Compact"/>
            </w:pPr>
            <w:r>
              <w:t xml:space="preserve">left, short-circuit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||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left, short-circuit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|&gt;</w:t>
            </w:r>
          </w:p>
        </w:tc>
        <w:tc>
          <w:tcPr/>
          <w:p>
            <w:pPr>
              <w:pStyle w:val="Compact"/>
            </w:pPr>
            <w:r>
              <w:t xml:space="preserve">left; the right side is one postfix expression</w:t>
            </w:r>
          </w:p>
        </w:tc>
      </w:tr>
    </w:tbl>
    <w:p>
      <w:pPr>
        <w:pStyle w:val="BodyText"/>
      </w:pPr>
      <w:r>
        <w:t xml:space="preserve">Notes:</w:t>
      </w:r>
    </w:p>
    <w:p>
      <w:pPr>
        <w:pStyle w:val="Compact"/>
        <w:numPr>
          <w:ilvl w:val="0"/>
          <w:numId w:val="1003"/>
        </w:numPr>
      </w:pPr>
      <w:r>
        <w:t xml:space="preserve">Comparisons chain syntactically, but</w:t>
      </w:r>
      <w:r>
        <w:t xml:space="preserve"> </w:t>
      </w:r>
      <w:r>
        <w:rPr>
          <w:rStyle w:val="VerbatimChar"/>
        </w:rPr>
        <w:t xml:space="preserve">a &lt; b &lt; c</w:t>
      </w:r>
      <w:r>
        <w:t xml:space="preserve"> </w:t>
      </w:r>
      <w:r>
        <w:t xml:space="preserve">compares a boolean with a number and fails at run time. Write</w:t>
      </w:r>
      <w:r>
        <w:t xml:space="preserve"> </w:t>
      </w:r>
      <w:r>
        <w:rPr>
          <w:rStyle w:val="VerbatimChar"/>
        </w:rPr>
        <w:t xml:space="preserve">a &lt; b &amp;&amp; b &lt; c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|&gt;</w:t>
      </w:r>
      <w:r>
        <w:t xml:space="preserve"> </w:t>
      </w:r>
      <w:r>
        <w:t xml:space="preserve">is lower than</w:t>
      </w:r>
      <w:r>
        <w:t xml:space="preserve"> </w:t>
      </w:r>
      <w:r>
        <w:rPr>
          <w:rStyle w:val="VerbatimChar"/>
        </w:rPr>
        <w:t xml:space="preserve">||</w:t>
      </w:r>
      <w:r>
        <w:t xml:space="preserve">, so</w:t>
      </w:r>
      <w:r>
        <w:t xml:space="preserve"> </w:t>
      </w:r>
      <w:r>
        <w:rPr>
          <w:rStyle w:val="VerbatimChar"/>
        </w:rPr>
        <w:t xml:space="preserve">a || b |&gt; f()</w:t>
      </w:r>
      <w:r>
        <w:t xml:space="preserve"> </w:t>
      </w:r>
      <w:r>
        <w:t xml:space="preserve">pipes the whole logical expression. The right side stops at the first postfix expression, so</w:t>
      </w:r>
      <w:r>
        <w:t xml:space="preserve"> </w:t>
      </w:r>
      <w:r>
        <w:rPr>
          <w:rStyle w:val="VerbatimChar"/>
        </w:rPr>
        <w:t xml:space="preserve">a |&gt; f() || b</w:t>
      </w:r>
      <w:r>
        <w:t xml:space="preserve"> </w:t>
      </w:r>
      <w:r>
        <w:t xml:space="preserve">is a syntax error; write</w:t>
      </w:r>
      <w:r>
        <w:t xml:space="preserve"> </w:t>
      </w:r>
      <w:r>
        <w:rPr>
          <w:rStyle w:val="VerbatimChar"/>
        </w:rPr>
        <w:t xml:space="preserve">(a |&gt; f()) || b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if ... then ... else ...</w:t>
      </w:r>
      <w:r>
        <w:t xml:space="preserve"> </w:t>
      </w:r>
      <w:r>
        <w:t xml:space="preserve">is a primary expression: its branches extend as far right as possible. Use parentheses when mixing it with operators.</w:t>
      </w:r>
    </w:p>
    <w:bookmarkEnd w:id="16"/>
    <w:bookmarkStart w:id="17" w:name="pipe"/>
    <w:p>
      <w:pPr>
        <w:pStyle w:val="Heading3"/>
      </w:pPr>
      <w:r>
        <w:t xml:space="preserve">Pipe</w:t>
      </w:r>
    </w:p>
    <w:p>
      <w:pPr>
        <w:pStyle w:val="FirstParagraph"/>
      </w:pPr>
      <w:r>
        <w:t xml:space="preserve">The pipe injects the left value as the first argument of the call on the right:</w:t>
      </w:r>
    </w:p>
    <w:p>
      <w:pPr>
        <w:pStyle w:val="SourceCode"/>
      </w:pPr>
      <w:r>
        <w:rPr>
          <w:rStyle w:val="VerbatimChar"/>
        </w:rPr>
        <w:t xml:space="preserve">[1, 2, 3] |&gt; length()        # 3</w:t>
      </w:r>
      <w:r>
        <w:br/>
      </w:r>
      <w:r>
        <w:rPr>
          <w:rStyle w:val="VerbatimChar"/>
        </w:rPr>
        <w:t xml:space="preserve">[1, 2, 3] |&gt; mean()          # 2</w:t>
      </w:r>
    </w:p>
    <w:bookmarkEnd w:id="17"/>
    <w:bookmarkStart w:id="18" w:name="if"/>
    <w:p>
      <w:pPr>
        <w:pStyle w:val="Heading3"/>
      </w:pPr>
      <w:r>
        <w:t xml:space="preserve">If</w:t>
      </w:r>
    </w:p>
    <w:p>
      <w:pPr>
        <w:pStyle w:val="FirstParagraph"/>
      </w:pPr>
      <w:r>
        <w:rPr>
          <w:rStyle w:val="VerbatimChar"/>
        </w:rPr>
        <w:t xml:space="preserve">if</w:t>
      </w:r>
      <w:r>
        <w:t xml:space="preserve"> </w:t>
      </w:r>
      <w:r>
        <w:t xml:space="preserve">is an expression:</w:t>
      </w:r>
    </w:p>
    <w:p>
      <w:pPr>
        <w:pStyle w:val="SourceCode"/>
      </w:pPr>
      <w:r>
        <w:rPr>
          <w:rStyle w:val="VerbatimChar"/>
        </w:rPr>
        <w:t xml:space="preserve">let label = if result &gt; 20 then "large" else "small"</w:t>
      </w:r>
    </w:p>
    <w:bookmarkEnd w:id="18"/>
    <w:bookmarkStart w:id="19" w:name="records-and-fields"/>
    <w:p>
      <w:pPr>
        <w:pStyle w:val="Heading3"/>
      </w:pPr>
      <w:r>
        <w:t xml:space="preserve">Records and fields</w:t>
      </w:r>
    </w:p>
    <w:p>
      <w:pPr>
        <w:pStyle w:val="SourceCode"/>
      </w:pPr>
      <w:r>
        <w:rPr>
          <w:rStyle w:val="VerbatimChar"/>
        </w:rPr>
        <w:t xml:space="preserve">let sample = {name: "S01", condition: "A", reads: 437000}</w:t>
      </w:r>
      <w:r>
        <w:br/>
      </w:r>
      <w:r>
        <w:rPr>
          <w:rStyle w:val="VerbatimChar"/>
        </w:rPr>
        <w:t xml:space="preserve">sample.condition          # "A"</w:t>
      </w:r>
    </w:p>
    <w:p>
      <w:pPr>
        <w:pStyle w:val="FirstParagraph"/>
      </w:pPr>
      <w:r>
        <w:t xml:space="preserve">A table also supports field access, which returns a column as an array:</w:t>
      </w:r>
    </w:p>
    <w:p>
      <w:pPr>
        <w:pStyle w:val="SourceCode"/>
      </w:pPr>
      <w:r>
        <w:rPr>
          <w:rStyle w:val="VerbatimChar"/>
        </w:rPr>
        <w:t xml:space="preserve">de.padj                   # array of adjusted p-values</w:t>
      </w:r>
    </w:p>
    <w:bookmarkEnd w:id="19"/>
    <w:bookmarkEnd w:id="20"/>
    <w:bookmarkStart w:id="21" w:name="semantics-and-type-rules"/>
    <w:p>
      <w:pPr>
        <w:pStyle w:val="Heading2"/>
      </w:pPr>
      <w:r>
        <w:t xml:space="preserve">Semantics and type rules</w:t>
      </w:r>
    </w:p>
    <w:p>
      <w:pPr>
        <w:pStyle w:val="FirstParagraph"/>
      </w:pPr>
      <w:r>
        <w:t xml:space="preserve">The language is dynamically typed in Phase 0. Every operator checks its operands at run time and returns a typed error rather than coercing silently.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Accepted operands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+ b</w:t>
            </w:r>
          </w:p>
        </w:tc>
        <w:tc>
          <w:tcPr/>
          <w:p>
            <w:pPr>
              <w:pStyle w:val="Compact"/>
            </w:pPr>
            <w:r>
              <w:t xml:space="preserve">number + number, string + string, array + array</w:t>
            </w:r>
          </w:p>
        </w:tc>
        <w:tc>
          <w:tcPr/>
          <w:p>
            <w:pPr>
              <w:pStyle w:val="Compact"/>
            </w:pPr>
            <w:r>
              <w:t xml:space="preserve">same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- 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 * 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 / 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 % b</w:t>
            </w:r>
          </w:p>
        </w:tc>
        <w:tc>
          <w:tcPr/>
          <w:p>
            <w:pPr>
              <w:pStyle w:val="Compact"/>
            </w:pPr>
            <w:r>
              <w:t xml:space="preserve">number + number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/ 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 % b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b == 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&lt; 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 &lt;= 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 &gt; 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 &gt;= b</w:t>
            </w:r>
          </w:p>
        </w:tc>
        <w:tc>
          <w:tcPr/>
          <w:p>
            <w:pPr>
              <w:pStyle w:val="Compact"/>
            </w:pPr>
            <w:r>
              <w:t xml:space="preserve">number + number, string + string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== 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 != b</w:t>
            </w:r>
          </w:p>
        </w:tc>
        <w:tc>
          <w:tcPr/>
          <w:p>
            <w:pPr>
              <w:pStyle w:val="Compact"/>
            </w:pPr>
            <w:r>
              <w:t xml:space="preserve">any two values, compared structurally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&amp;&amp; 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 || 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!a</w:t>
            </w:r>
          </w:p>
        </w:tc>
        <w:tc>
          <w:tcPr/>
          <w:p>
            <w:pPr>
              <w:pStyle w:val="Compact"/>
            </w:pPr>
            <w:r>
              <w:t xml:space="preserve">bool + bool</w:t>
            </w:r>
          </w:p>
        </w:tc>
        <w:tc>
          <w:tcPr/>
          <w:p>
            <w:pPr>
              <w:pStyle w:val="Compact"/>
            </w:pPr>
            <w:r>
              <w:t xml:space="preserve">bool, short-circuit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c then a else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must be bool</w:t>
            </w:r>
          </w:p>
        </w:tc>
        <w:tc>
          <w:tcPr/>
          <w:p>
            <w:pPr>
              <w:pStyle w:val="Compact"/>
            </w:pPr>
            <w:r>
              <w:t xml:space="preserve">value of the taken 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|&gt; f(args)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is a function or builtin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f(x, args)</w:t>
            </w:r>
          </w:p>
        </w:tc>
      </w:tr>
    </w:tbl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 truthiness</w:t>
      </w:r>
      <w:r>
        <w:t xml:space="preserve">: numbers, strings and arrays are not accepted as conditions.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only participates in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!=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+</w:t>
      </w:r>
      <w:r>
        <w:t xml:space="preserve"> </w:t>
      </w:r>
      <w:r>
        <w:t xml:space="preserve">on tables is not defined; use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filter_where</w:t>
      </w:r>
      <w:r>
        <w:t xml:space="preserve"> </w:t>
      </w:r>
      <w:r>
        <w:t xml:space="preserve">or a bridge.</w:t>
      </w:r>
    </w:p>
    <w:bookmarkEnd w:id="21"/>
    <w:bookmarkStart w:id="22" w:name="scoping-and-evaluation-order"/>
    <w:p>
      <w:pPr>
        <w:pStyle w:val="Heading2"/>
      </w:pPr>
      <w:r>
        <w:t xml:space="preserve">Scoping and evaluation order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let</w:t>
      </w:r>
      <w:r>
        <w:t xml:space="preserve"> </w:t>
      </w:r>
      <w:r>
        <w:t xml:space="preserve">introduces a</w:t>
      </w:r>
      <w:r>
        <w:t xml:space="preserve"> </w:t>
      </w:r>
      <w:r>
        <w:rPr>
          <w:b/>
          <w:bCs/>
        </w:rPr>
        <w:t xml:space="preserve">global</w:t>
      </w:r>
      <w:r>
        <w:t xml:space="preserve"> </w:t>
      </w:r>
      <w:r>
        <w:t xml:space="preserve">binding. Redeclaring a name overwrites it. There are no block scopes yet.</w:t>
      </w:r>
    </w:p>
    <w:p>
      <w:pPr>
        <w:pStyle w:val="Compact"/>
        <w:numPr>
          <w:ilvl w:val="0"/>
          <w:numId w:val="1004"/>
        </w:numPr>
      </w:pPr>
      <w:r>
        <w:t xml:space="preserve">Function parameters shadow globals for the duration of the call.</w:t>
      </w:r>
    </w:p>
    <w:p>
      <w:pPr>
        <w:pStyle w:val="Compact"/>
        <w:numPr>
          <w:ilvl w:val="0"/>
          <w:numId w:val="1004"/>
        </w:numPr>
      </w:pPr>
      <w:r>
        <w:t xml:space="preserve">Functions see</w:t>
      </w:r>
      <w:r>
        <w:t xml:space="preserve"> </w:t>
      </w:r>
      <w:r>
        <w:rPr>
          <w:b/>
          <w:bCs/>
        </w:rPr>
        <w:t xml:space="preserve">globals and their parameters</w:t>
      </w:r>
      <w:r>
        <w:t xml:space="preserve">, not the caller’s locals. They are not closures.</w:t>
      </w:r>
    </w:p>
    <w:p>
      <w:pPr>
        <w:pStyle w:val="Compact"/>
        <w:numPr>
          <w:ilvl w:val="0"/>
          <w:numId w:val="1004"/>
        </w:numPr>
      </w:pPr>
      <w:r>
        <w:t xml:space="preserve">Recursion and mutual recursion work: functions are looked up at call time.</w:t>
      </w:r>
    </w:p>
    <w:p>
      <w:pPr>
        <w:pStyle w:val="Compact"/>
        <w:numPr>
          <w:ilvl w:val="0"/>
          <w:numId w:val="1004"/>
        </w:numPr>
      </w:pPr>
      <w:r>
        <w:t xml:space="preserve">Statements evaluate top to bottom; arguments and array/record elements evaluate left to right.</w:t>
      </w:r>
    </w:p>
    <w:p>
      <w:pPr>
        <w:pStyle w:val="Compact"/>
        <w:numPr>
          <w:ilvl w:val="0"/>
          <w:numId w:val="1004"/>
        </w:numPr>
      </w:pPr>
      <w:r>
        <w:t xml:space="preserve">Named arguments are accepted by builtins (for example</w:t>
      </w:r>
      <w:r>
        <w:t xml:space="preserve"> </w:t>
      </w:r>
      <w:r>
        <w:rPr>
          <w:rStyle w:val="VerbatimChar"/>
        </w:rPr>
        <w:t xml:space="preserve">head(de, n: 3)</w:t>
      </w:r>
      <w:r>
        <w:t xml:space="preserve">); user functions take positional arguments only.</w:t>
      </w:r>
    </w:p>
    <w:p>
      <w:pPr>
        <w:pStyle w:val="Compact"/>
        <w:numPr>
          <w:ilvl w:val="0"/>
          <w:numId w:val="1004"/>
        </w:numPr>
      </w:pPr>
      <w:r>
        <w:t xml:space="preserve">A user function’s body is a single expression; there is no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and no block body.</w:t>
      </w:r>
    </w:p>
    <w:bookmarkEnd w:id="22"/>
    <w:bookmarkStart w:id="23" w:name="what-the-parser-rejects"/>
    <w:p>
      <w:pPr>
        <w:pStyle w:val="Heading2"/>
      </w:pPr>
      <w:r>
        <w:t xml:space="preserve">What the parser rejects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let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inside an expression, or after</w:t>
      </w:r>
      <w:r>
        <w:t xml:space="preserve"> </w:t>
      </w:r>
      <w:r>
        <w:rPr>
          <w:rStyle w:val="VerbatimChar"/>
        </w:rPr>
        <w:t xml:space="preserve">|&gt;</w:t>
      </w:r>
    </w:p>
    <w:p>
      <w:pPr>
        <w:pStyle w:val="Compact"/>
        <w:numPr>
          <w:ilvl w:val="0"/>
          <w:numId w:val="1005"/>
        </w:numPr>
      </w:pPr>
      <w:r>
        <w:t xml:space="preserve">Two statements on one line without</w:t>
      </w:r>
      <w:r>
        <w:t xml:space="preserve"> </w:t>
      </w:r>
      <w:r>
        <w:rPr>
          <w:rStyle w:val="VerbatimChar"/>
        </w:rP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Assignment other than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(</w:t>
      </w:r>
      <w:r>
        <w:rPr>
          <w:rStyle w:val="VerbatimChar"/>
        </w:rPr>
        <w:t xml:space="preserve">x = 1</w:t>
      </w:r>
      <w:r>
        <w:t xml:space="preserve"> </w:t>
      </w:r>
      <w:r>
        <w:t xml:space="preserve">is only valid after</w:t>
      </w:r>
      <w:r>
        <w:t xml:space="preserve"> </w:t>
      </w:r>
      <w:r>
        <w:rPr>
          <w:rStyle w:val="VerbatimChar"/>
        </w:rPr>
        <w:t xml:space="preserve">let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A namespace call without parentheses (</w:t>
      </w:r>
      <w:r>
        <w:rPr>
          <w:rStyle w:val="VerbatimChar"/>
        </w:rPr>
        <w:t xml:space="preserve">r::mean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A record key that is not an identifier or a string</w:t>
      </w:r>
    </w:p>
    <w:p>
      <w:pPr>
        <w:pStyle w:val="Compact"/>
        <w:numPr>
          <w:ilvl w:val="0"/>
          <w:numId w:val="1005"/>
        </w:numPr>
      </w:pPr>
      <w:r>
        <w:t xml:space="preserve">Raw newlines inside a string</w:t>
      </w:r>
    </w:p>
    <w:p>
      <w:pPr>
        <w:pStyle w:val="Compact"/>
        <w:numPr>
          <w:ilvl w:val="0"/>
          <w:numId w:val="1005"/>
        </w:numPr>
      </w:pPr>
      <w:r>
        <w:t xml:space="preserve">Characters outside the token set (for example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)</w:t>
      </w:r>
    </w:p>
    <w:bookmarkEnd w:id="23"/>
    <w:bookmarkStart w:id="24" w:name="builtins"/>
    <w:p>
      <w:pPr>
        <w:pStyle w:val="Heading2"/>
      </w:pPr>
      <w:r>
        <w:t xml:space="preserve">Builtins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Builtin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print(value)</w:t>
            </w:r>
          </w:p>
        </w:tc>
        <w:tc>
          <w:tcPr/>
          <w:p>
            <w:pPr>
              <w:pStyle w:val="Compact"/>
            </w:pPr>
            <w:r>
              <w:t xml:space="preserve">Print a value; tables print as a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type_of(value)</w:t>
            </w:r>
          </w:p>
        </w:tc>
        <w:tc>
          <w:tcPr/>
          <w:p>
            <w:pPr>
              <w:pStyle w:val="Compact"/>
            </w:pPr>
            <w:r>
              <w:t xml:space="preserve">Type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length(value)</w:t>
            </w:r>
          </w:p>
        </w:tc>
        <w:tc>
          <w:tcPr/>
          <w:p>
            <w:pPr>
              <w:pStyle w:val="Compact"/>
            </w:pPr>
            <w:r>
              <w:t xml:space="preserve">Array, string, record or table 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read_csv(path)</w:t>
            </w:r>
          </w:p>
        </w:tc>
        <w:tc>
          <w:tcPr/>
          <w:p>
            <w:pPr>
              <w:pStyle w:val="Compact"/>
            </w:pPr>
            <w:r>
              <w:t xml:space="preserve">Read a CSV file into a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write_csv(table, path)</w:t>
            </w:r>
          </w:p>
        </w:tc>
        <w:tc>
          <w:tcPr/>
          <w:p>
            <w:pPr>
              <w:pStyle w:val="Compact"/>
            </w:pPr>
            <w:r>
              <w:t xml:space="preserve">Write a table to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head(table, n = 5)</w:t>
            </w:r>
          </w:p>
        </w:tc>
        <w:tc>
          <w:tcPr/>
          <w:p>
            <w:pPr>
              <w:pStyle w:val="Compact"/>
            </w:pPr>
            <w:r>
              <w:t xml:space="preserve">First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tail(table, n = 5)</w:t>
            </w:r>
          </w:p>
        </w:tc>
        <w:tc>
          <w:tcPr/>
          <w:p>
            <w:pPr>
              <w:pStyle w:val="Compact"/>
            </w:pPr>
            <w:r>
              <w:t xml:space="preserve">Last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select(table, names...)</w:t>
            </w:r>
          </w:p>
        </w:tc>
        <w:tc>
          <w:tcPr/>
          <w:p>
            <w:pPr>
              <w:pStyle w:val="Compact"/>
            </w:pPr>
            <w:r>
              <w:t xml:space="preserve">Project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column(table, name)</w:t>
            </w:r>
          </w:p>
        </w:tc>
        <w:tc>
          <w:tcPr/>
          <w:p>
            <w:pPr>
              <w:pStyle w:val="Compact"/>
            </w:pPr>
            <w:r>
              <w:t xml:space="preserve">One column as an 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filter_where(table, col, op, value)</w:t>
            </w:r>
          </w:p>
        </w:tc>
        <w:tc>
          <w:tcPr/>
          <w:p>
            <w:pPr>
              <w:pStyle w:val="Compact"/>
            </w:pPr>
            <w:r>
              <w:t xml:space="preserve">Filter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count_where(table, col, op, value)</w:t>
            </w:r>
          </w:p>
        </w:tc>
        <w:tc>
          <w:tcPr/>
          <w:p>
            <w:pPr>
              <w:pStyle w:val="Compact"/>
            </w:pPr>
            <w:r>
              <w:t xml:space="preserve">Count matching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mean(values)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sum(values)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sd(values)</w:t>
            </w:r>
          </w:p>
        </w:tc>
        <w:tc>
          <w:tcPr/>
          <w:p>
            <w:pPr>
              <w:pStyle w:val="Compact"/>
            </w:pPr>
            <w:r>
              <w:t xml:space="preserve">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min(values)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max(values)</w:t>
            </w:r>
          </w:p>
        </w:tc>
        <w:tc>
          <w:tcPr/>
          <w:p>
            <w:pPr>
              <w:pStyle w:val="Compact"/>
            </w:pPr>
            <w:r>
              <w:t xml:space="preserve">Extremes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abs(x)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sqrt(x)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round(x)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floor(x)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ceil(x)</w:t>
            </w:r>
          </w:p>
        </w:tc>
        <w:tc>
          <w:tcPr/>
          <w:p>
            <w:pPr>
              <w:pStyle w:val="Compact"/>
            </w:pPr>
            <w:r>
              <w:t xml:space="preserve">Numeric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to_json(value)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from_json(text)</w:t>
            </w:r>
          </w:p>
        </w:tc>
        <w:tc>
          <w:tcPr/>
          <w:p>
            <w:pPr>
              <w:pStyle w:val="Compact"/>
            </w:pPr>
            <w:r>
              <w:t xml:space="preserve">JSON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range(n)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[0, 1, ..., n-1]</w:t>
            </w:r>
          </w:p>
        </w:tc>
      </w:tr>
    </w:tbl>
    <w:p>
      <w:pPr>
        <w:pStyle w:val="BodyText"/>
      </w:pPr>
      <w:r>
        <w:t xml:space="preserve">Operators accepted by</w:t>
      </w:r>
      <w:r>
        <w:t xml:space="preserve"> </w:t>
      </w:r>
      <w:r>
        <w:rPr>
          <w:rStyle w:val="VerbatimChar"/>
        </w:rPr>
        <w:t xml:space="preserve">filter_where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count_where</w:t>
      </w:r>
      <w:r>
        <w:t xml:space="preserve">: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.</w:t>
      </w:r>
    </w:p>
    <w:bookmarkEnd w:id="24"/>
    <w:bookmarkStart w:id="25" w:name="calling-r"/>
    <w:p>
      <w:pPr>
        <w:pStyle w:val="Heading2"/>
      </w:pPr>
      <w:r>
        <w:t xml:space="preserve">Calling R</w:t>
      </w:r>
    </w:p>
    <w:p>
      <w:pPr>
        <w:pStyle w:val="SourceCode"/>
      </w:pPr>
      <w:r>
        <w:rPr>
          <w:rStyle w:val="VerbatimChar"/>
        </w:rPr>
        <w:t xml:space="preserve">r::call("mean", [1, 2, 3, 4])          # base R</w:t>
      </w:r>
      <w:r>
        <w:br/>
      </w:r>
      <w:r>
        <w:rPr>
          <w:rStyle w:val="VerbatimChar"/>
        </w:rPr>
        <w:t xml:space="preserve">r::call("stats::sd", [1, 2, 3, 4])     # package namespace</w:t>
      </w:r>
      <w:r>
        <w:br/>
      </w:r>
      <w:r>
        <w:rPr>
          <w:rStyle w:val="VerbatimChar"/>
        </w:rPr>
        <w:t xml:space="preserve">r::available()                          # bool</w:t>
      </w:r>
      <w:r>
        <w:br/>
      </w:r>
      <w:r>
        <w:rPr>
          <w:rStyle w:val="VerbatimChar"/>
        </w:rPr>
        <w:t xml:space="preserve">r::version()                            # string or null</w:t>
      </w:r>
    </w:p>
    <w:p>
      <w:pPr>
        <w:pStyle w:val="FirstParagraph"/>
      </w:pPr>
      <w:r>
        <w:t xml:space="preserve">Arguments are converted from JSON. Numeric and string vectors become R vectors; records become named lists. Results are converted back to Connexon values; an array of records becomes a table.</w:t>
      </w:r>
    </w:p>
    <w:p>
      <w:pPr>
        <w:pStyle w:val="BodyText"/>
      </w:pPr>
      <w:r>
        <w:t xml:space="preserve">The call is executed by a new</w:t>
      </w:r>
      <w:r>
        <w:t xml:space="preserve"> </w:t>
      </w:r>
      <w:r>
        <w:rPr>
          <w:rStyle w:val="VerbatimChar"/>
        </w:rPr>
        <w:t xml:space="preserve">Rscript</w:t>
      </w:r>
      <w:r>
        <w:t xml:space="preserve"> </w:t>
      </w:r>
      <w:r>
        <w:t xml:space="preserve">process. An R error becomes a Connexon error with the R message.</w:t>
      </w:r>
    </w:p>
    <w:bookmarkEnd w:id="25"/>
    <w:bookmarkStart w:id="26" w:name="calling-python"/>
    <w:p>
      <w:pPr>
        <w:pStyle w:val="Heading2"/>
      </w:pPr>
      <w:r>
        <w:t xml:space="preserve">Calling Python</w:t>
      </w:r>
    </w:p>
    <w:p>
      <w:pPr>
        <w:pStyle w:val="SourceCode"/>
      </w:pPr>
      <w:r>
        <w:rPr>
          <w:rStyle w:val="VerbatimChar"/>
        </w:rPr>
        <w:t xml:space="preserve">py::call("statistics", "stdev", [1, 2, 3, 4])</w:t>
      </w:r>
      <w:r>
        <w:br/>
      </w:r>
      <w:r>
        <w:rPr>
          <w:rStyle w:val="VerbatimChar"/>
        </w:rPr>
        <w:t xml:space="preserve">py::call("builtins", "sum", [1, 2, 3])</w:t>
      </w:r>
      <w:r>
        <w:br/>
      </w:r>
      <w:r>
        <w:rPr>
          <w:rStyle w:val="VerbatimChar"/>
        </w:rPr>
        <w:t xml:space="preserve">py::available()</w:t>
      </w:r>
      <w:r>
        <w:br/>
      </w:r>
      <w:r>
        <w:rPr>
          <w:rStyle w:val="VerbatimChar"/>
        </w:rPr>
        <w:t xml:space="preserve">py::version()</w:t>
      </w:r>
    </w:p>
    <w:p>
      <w:pPr>
        <w:pStyle w:val="FirstParagraph"/>
      </w:pPr>
      <w:r>
        <w:t xml:space="preserve">The first argument is the module, the second is the function. Dotted attributes work (</w:t>
      </w:r>
      <w:r>
        <w:rPr>
          <w:rStyle w:val="VerbatimChar"/>
        </w:rPr>
        <w:t xml:space="preserve">"linear_model.LogisticRegression"</w:t>
      </w:r>
      <w:r>
        <w:t xml:space="preserve">), and keyword arguments are not yet supported. Results are converted from JSON; non-JSON objects are stringified.</w:t>
      </w:r>
    </w:p>
    <w:bookmarkEnd w:id="26"/>
    <w:bookmarkStart w:id="27" w:name="errors"/>
    <w:p>
      <w:pPr>
        <w:pStyle w:val="Heading2"/>
      </w:pPr>
      <w:r>
        <w:t xml:space="preserve">Errors</w:t>
      </w:r>
    </w:p>
    <w:p>
      <w:pPr>
        <w:pStyle w:val="Compact"/>
        <w:numPr>
          <w:ilvl w:val="0"/>
          <w:numId w:val="1006"/>
        </w:numPr>
      </w:pPr>
      <w:r>
        <w:t xml:space="preserve">Syntax errors report line and column.</w:t>
      </w:r>
    </w:p>
    <w:p>
      <w:pPr>
        <w:pStyle w:val="Compact"/>
        <w:numPr>
          <w:ilvl w:val="0"/>
          <w:numId w:val="1006"/>
        </w:numPr>
      </w:pPr>
      <w:r>
        <w:t xml:space="preserve">Type errors name the expected and actual type.</w:t>
      </w:r>
    </w:p>
    <w:p>
      <w:pPr>
        <w:pStyle w:val="Compact"/>
        <w:numPr>
          <w:ilvl w:val="0"/>
          <w:numId w:val="1006"/>
        </w:numPr>
      </w:pPr>
      <w:r>
        <w:t xml:space="preserve">Unknown columns, variables, functions and namespaces are explicit.</w:t>
      </w:r>
    </w:p>
    <w:p>
      <w:pPr>
        <w:pStyle w:val="Compact"/>
        <w:numPr>
          <w:ilvl w:val="0"/>
          <w:numId w:val="1006"/>
        </w:numPr>
      </w:pPr>
      <w:r>
        <w:t xml:space="preserve">Bridge failures include the interpreter’s message.</w:t>
      </w:r>
    </w:p>
    <w:p>
      <w:pPr>
        <w:pStyle w:val="Compact"/>
        <w:numPr>
          <w:ilvl w:val="0"/>
          <w:numId w:val="1006"/>
        </w:numPr>
      </w:pPr>
      <w:r>
        <w:t xml:space="preserve">The CLI exits non-zero on any error.</w:t>
      </w:r>
    </w:p>
    <w:bookmarkEnd w:id="27"/>
    <w:bookmarkStart w:id="28" w:name="what-is-intentionally-missing-in-phase-0"/>
    <w:p>
      <w:pPr>
        <w:pStyle w:val="Heading2"/>
      </w:pPr>
      <w:r>
        <w:t xml:space="preserve">What is intentionally missing in Phase 0</w:t>
      </w:r>
    </w:p>
    <w:p>
      <w:pPr>
        <w:pStyle w:val="Compact"/>
        <w:numPr>
          <w:ilvl w:val="0"/>
          <w:numId w:val="1007"/>
        </w:numPr>
      </w:pPr>
      <w:r>
        <w:t xml:space="preserve">Static types and type inference</w:t>
      </w:r>
    </w:p>
    <w:p>
      <w:pPr>
        <w:pStyle w:val="Compact"/>
        <w:numPr>
          <w:ilvl w:val="0"/>
          <w:numId w:val="1007"/>
        </w:numPr>
      </w:pPr>
      <w:r>
        <w:t xml:space="preserve">Modules and imports</w:t>
      </w:r>
    </w:p>
    <w:p>
      <w:pPr>
        <w:pStyle w:val="Compact"/>
        <w:numPr>
          <w:ilvl w:val="0"/>
          <w:numId w:val="1007"/>
        </w:numPr>
      </w:pPr>
      <w:r>
        <w:t xml:space="preserve">Pattern matching</w:t>
      </w:r>
    </w:p>
    <w:p>
      <w:pPr>
        <w:pStyle w:val="Compact"/>
        <w:numPr>
          <w:ilvl w:val="0"/>
          <w:numId w:val="1007"/>
        </w:numPr>
      </w:pPr>
      <w:r>
        <w:t xml:space="preserve">Closures over caller locals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while</w:t>
      </w:r>
    </w:p>
    <w:p>
      <w:pPr>
        <w:pStyle w:val="Compact"/>
        <w:numPr>
          <w:ilvl w:val="0"/>
          <w:numId w:val="1007"/>
        </w:numPr>
      </w:pPr>
      <w:r>
        <w:t xml:space="preserve">Vectorised table expressions</w:t>
      </w:r>
    </w:p>
    <w:p>
      <w:pPr>
        <w:pStyle w:val="Compact"/>
        <w:numPr>
          <w:ilvl w:val="0"/>
          <w:numId w:val="1007"/>
        </w:numPr>
      </w:pPr>
      <w:r>
        <w:t xml:space="preserve">Arrow-backed zero-copy tables</w:t>
      </w:r>
    </w:p>
    <w:p>
      <w:pPr>
        <w:pStyle w:val="Compact"/>
        <w:numPr>
          <w:ilvl w:val="0"/>
          <w:numId w:val="1007"/>
        </w:numPr>
      </w:pPr>
      <w:r>
        <w:t xml:space="preserve">GPU tensors and DLPack</w:t>
      </w:r>
    </w:p>
    <w:p>
      <w:pPr>
        <w:pStyle w:val="Compact"/>
        <w:numPr>
          <w:ilvl w:val="0"/>
          <w:numId w:val="1007"/>
        </w:numPr>
      </w:pPr>
      <w:r>
        <w:t xml:space="preserve">AI provider calls</w:t>
      </w:r>
    </w:p>
    <w:p>
      <w:pPr>
        <w:pStyle w:val="FirstParagraph"/>
      </w:pPr>
      <w:r>
        <w:t xml:space="preserve">Those are sequenced in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.</w:t>
      </w:r>
    </w:p>
    <w:bookmarkEnd w:id="28"/>
    <w:bookmarkEnd w:id="29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cs="Times New Roman" w:eastAsia="FangSong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="Times New Roman" w:cstheme="majorBidi" w:eastAsia="FangSong" w:eastAsiaTheme="majorEastAsia" w:hAnsi="Times New Roman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="Times New Roman" w:cstheme="majorBidi" w:eastAsia="FangSong" w:eastAsiaTheme="majorEastAsia" w:hAnsi="Times New Roman" w:hAnsiTheme="majorHAnsi"/>
      <w:b/>
      <w:i/>
      <w:iCs/>
      <w:color w:themeColor="accent1" w:val="4F81BD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nsolas" w:cs="Consolas" w:eastAsia="FangSong" w:hAnsi="Consolas"/>
      <w:color w:val="FF0000"/>
      <w:sz w:val="20"/>
    </w:rPr>
  </w:style>
  <w:style w:customStyle="1" w:styleId="SourceCode" w:type="paragraph">
    <w:name w:val="Source Code"/>
    <w:pPr>
      <w:spacing w:after="80" w:line="240" w:lineRule="auto"/>
    </w:pPr>
    <w:rPr>
      <w:rFonts w:ascii="Consolas" w:cs="Consolas" w:eastAsia="FangSong" w:hAnsi="Consolas"/>
      <w:color w:val="FF000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2026-10-19T09:48:57Z</dcterms:created>
  <dcterms:modified xsi:type="dcterms:W3CDTF">2026-10-19T09:48:57Z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