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nnexon-roadmap"/>
    <w:p>
      <w:pPr>
        <w:pStyle w:val="Heading1"/>
      </w:pPr>
      <w:r>
        <w:t xml:space="preserve">Connexon roadmap</w:t>
      </w:r>
    </w:p>
    <w:bookmarkStart w:id="9" w:name="phase-0-vertical-slice-complete"/>
    <w:p>
      <w:pPr>
        <w:pStyle w:val="Heading2"/>
      </w:pPr>
      <w:r>
        <w:t xml:space="preserve">Phase 0 — vertical slice (complete)</w:t>
      </w:r>
    </w:p>
    <w:p>
      <w:pPr>
        <w:pStyle w:val="FirstParagraph"/>
      </w:pPr>
      <w:r>
        <w:t xml:space="preserve">Delivered:</w:t>
      </w:r>
    </w:p>
    <w:p>
      <w:pPr>
        <w:pStyle w:val="Compact"/>
        <w:numPr>
          <w:ilvl w:val="0"/>
          <w:numId w:val="1001"/>
        </w:numPr>
      </w:pPr>
      <w:r>
        <w:t xml:space="preserve">Four-crate Rust workspace:</w:t>
      </w:r>
      <w:r>
        <w:t xml:space="preserve"> </w:t>
      </w:r>
      <w:r>
        <w:rPr>
          <w:rStyle w:val="VerbatimChar"/>
        </w:rPr>
        <w:t xml:space="preserve">connexon-core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connexon-syntax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connexon-cli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Lexer, AST and parser for</w:t>
      </w:r>
      <w:r>
        <w:t xml:space="preserve"> </w:t>
      </w:r>
      <w:r>
        <w:rPr>
          <w:rStyle w:val="VerbatimChar"/>
        </w:rPr>
        <w:t xml:space="preserve">.cnx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Evaluator with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fn</w:t>
      </w:r>
      <w:r>
        <w:t xml:space="preserve">, pipes, records, arrays,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operators.</w:t>
      </w:r>
    </w:p>
    <w:p>
      <w:pPr>
        <w:pStyle w:val="Compact"/>
        <w:numPr>
          <w:ilvl w:val="0"/>
          <w:numId w:val="1001"/>
        </w:numPr>
      </w:pPr>
      <w:r>
        <w:t xml:space="preserve">Builtins for CSV tables, filtering, counting, statistics, JSON.</w:t>
      </w:r>
    </w:p>
    <w:p>
      <w:pPr>
        <w:pStyle w:val="Compact"/>
        <w:numPr>
          <w:ilvl w:val="0"/>
          <w:numId w:val="1001"/>
        </w:numPr>
      </w:pPr>
      <w:r>
        <w:t xml:space="preserve">Process-isolated R and Python bridges (</w:t>
      </w:r>
      <w:r>
        <w:rPr>
          <w:rStyle w:val="VerbatimChar"/>
        </w:rPr>
        <w:t xml:space="preserve">r::call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py::call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Hardware probe for CPU, memory, GPU and toolchains.</w:t>
      </w:r>
    </w:p>
    <w:p>
      <w:pPr>
        <w:pStyle w:val="Compact"/>
        <w:numPr>
          <w:ilvl w:val="0"/>
          <w:numId w:val="1001"/>
        </w:numPr>
      </w:pPr>
      <w:r>
        <w:t xml:space="preserve">Consent-gated install planner with</w:t>
      </w:r>
      <w:r>
        <w:t xml:space="preserve"> </w:t>
      </w:r>
      <w:r>
        <w:rPr>
          <w:rStyle w:val="VerbatimChar"/>
        </w:rPr>
        <w:t xml:space="preserve">connexon.install-plan.json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28 tests, four example programs, documentation.</w:t>
      </w:r>
    </w:p>
    <w:p>
      <w:pPr>
        <w:pStyle w:val="FirstParagraph"/>
      </w:pPr>
      <w:r>
        <w:t xml:space="preserve">Exit criteria met:</w:t>
      </w:r>
      <w:r>
        <w:t xml:space="preserve"> </w:t>
      </w:r>
      <w:r>
        <w:rPr>
          <w:rStyle w:val="VerbatimChar"/>
        </w:rPr>
        <w:t xml:space="preserve">cargo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 all examples run,</w:t>
      </w:r>
      <w:r>
        <w:t xml:space="preserve"> </w:t>
      </w:r>
      <w:r>
        <w:rPr>
          <w:rStyle w:val="VerbatimChar"/>
        </w:rPr>
        <w:t xml:space="preserve">cnx doctor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cnx install --plan-only</w:t>
      </w:r>
      <w:r>
        <w:t xml:space="preserve"> </w:t>
      </w:r>
      <w:r>
        <w:t xml:space="preserve">work.</w:t>
      </w:r>
    </w:p>
    <w:bookmarkEnd w:id="9"/>
    <w:bookmarkStart w:id="10" w:name="phase-1-data-and-packaging-69-months"/>
    <w:p>
      <w:pPr>
        <w:pStyle w:val="Heading2"/>
      </w:pPr>
      <w:r>
        <w:t xml:space="preserve">Phase 1 — data and packaging (6–9 months)</w:t>
      </w:r>
    </w:p>
    <w:p>
      <w:pPr>
        <w:pStyle w:val="Compact"/>
        <w:numPr>
          <w:ilvl w:val="0"/>
          <w:numId w:val="1002"/>
        </w:numPr>
      </w:pPr>
      <w:r>
        <w:t xml:space="preserve">Arrow-backed tables; zero-copy CSV/Parquet; schema and nullability.</w:t>
      </w:r>
    </w:p>
    <w:p>
      <w:pPr>
        <w:pStyle w:val="Compact"/>
        <w:numPr>
          <w:ilvl w:val="0"/>
          <w:numId w:val="1002"/>
        </w:numPr>
      </w:pPr>
      <w:r>
        <w:t xml:space="preserve">Arrow IPC between the runtime and R/Python; batched bridge calls.</w:t>
      </w:r>
    </w:p>
    <w:p>
      <w:pPr>
        <w:pStyle w:val="Compact"/>
        <w:numPr>
          <w:ilvl w:val="0"/>
          <w:numId w:val="1002"/>
        </w:numPr>
      </w:pPr>
      <w:r>
        <w:t xml:space="preserve">Typed stubs for the most-used R and Python functions.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connexon.lock</w:t>
      </w:r>
      <w:r>
        <w:t xml:space="preserve"> </w:t>
      </w:r>
      <w:r>
        <w:t xml:space="preserve">with R, Python, crate and system versions.</w:t>
      </w:r>
    </w:p>
    <w:p>
      <w:pPr>
        <w:pStyle w:val="Compact"/>
        <w:numPr>
          <w:ilvl w:val="0"/>
          <w:numId w:val="1002"/>
        </w:numPr>
      </w:pPr>
      <w:r>
        <w:t xml:space="preserve">Package manager integration (</w:t>
      </w:r>
      <w:r>
        <w:rPr>
          <w:rStyle w:val="VerbatimChar"/>
        </w:rPr>
        <w:t xml:space="preserve">renv</w:t>
      </w:r>
      <w:r>
        <w:t xml:space="preserve">-style R,</w:t>
      </w:r>
      <w:r>
        <w:t xml:space="preserve"> </w:t>
      </w:r>
      <w:r>
        <w:rPr>
          <w:rStyle w:val="VerbatimChar"/>
        </w:rPr>
        <w:t xml:space="preserve">uv</w:t>
      </w:r>
      <w:r>
        <w:t xml:space="preserve">/</w:t>
      </w:r>
      <w:r>
        <w:rPr>
          <w:rStyle w:val="VerbatimChar"/>
        </w:rPr>
        <w:t xml:space="preserve">pixi</w:t>
      </w:r>
      <w:r>
        <w:t xml:space="preserve"> </w:t>
      </w:r>
      <w:r>
        <w:t xml:space="preserve">Python,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LSP and Jupyter kernel.</w:t>
      </w:r>
    </w:p>
    <w:p>
      <w:pPr>
        <w:pStyle w:val="Compact"/>
        <w:numPr>
          <w:ilvl w:val="0"/>
          <w:numId w:val="1002"/>
        </w:numPr>
      </w:pPr>
      <w:r>
        <w:t xml:space="preserve">Conformance harness against pure R and pure Python.</w:t>
      </w:r>
    </w:p>
    <w:p>
      <w:pPr>
        <w:pStyle w:val="FirstParagraph"/>
      </w:pPr>
      <w:r>
        <w:t xml:space="preserve">Exit criteria: a real bulk RNA-seq pipeline runs with DESeq2 and scikit-learn through the typed stubs, with one lockfile.</w:t>
      </w:r>
    </w:p>
    <w:bookmarkEnd w:id="10"/>
    <w:bookmarkStart w:id="11" w:name="phase-2-scale-and-devices-912-months"/>
    <w:p>
      <w:pPr>
        <w:pStyle w:val="Heading2"/>
      </w:pPr>
      <w:r>
        <w:t xml:space="preserve">Phase 2 — scale and devices (9–12 months)</w:t>
      </w:r>
    </w:p>
    <w:p>
      <w:pPr>
        <w:pStyle w:val="Compact"/>
        <w:numPr>
          <w:ilvl w:val="0"/>
          <w:numId w:val="1003"/>
        </w:numPr>
      </w:pPr>
      <w:r>
        <w:t xml:space="preserve">Global DAG scheduler with one parallelism decision per pipeline.</w:t>
      </w:r>
    </w:p>
    <w:p>
      <w:pPr>
        <w:pStyle w:val="Compact"/>
        <w:numPr>
          <w:ilvl w:val="0"/>
          <w:numId w:val="1003"/>
        </w:numPr>
      </w:pPr>
      <w:r>
        <w:t xml:space="preserve">Native CPU kernels with runtime dispatch (x86-64 v2/v3/v4, NEON/SVE).</w:t>
      </w:r>
    </w:p>
    <w:p>
      <w:pPr>
        <w:pStyle w:val="Compact"/>
        <w:numPr>
          <w:ilvl w:val="0"/>
          <w:numId w:val="1003"/>
        </w:numPr>
      </w:pPr>
      <w:r>
        <w:t xml:space="preserve">CUDA backend (</w:t>
      </w:r>
      <w:r>
        <w:rPr>
          <w:rStyle w:val="VerbatimChar"/>
        </w:rPr>
        <w:t xml:space="preserve">cudarc</w:t>
      </w:r>
      <w:r>
        <w:t xml:space="preserve">) and ROCm backend (HIP) behind one device trait.</w:t>
      </w:r>
    </w:p>
    <w:p>
      <w:pPr>
        <w:pStyle w:val="Compact"/>
        <w:numPr>
          <w:ilvl w:val="0"/>
          <w:numId w:val="1003"/>
        </w:numPr>
      </w:pPr>
      <w:r>
        <w:t xml:space="preserve">DLPack interop with PyTorch/CuPy/JAX; CUDA Graphs; multi-GPU NCCL/RCCL.</w:t>
      </w:r>
    </w:p>
    <w:p>
      <w:pPr>
        <w:pStyle w:val="Compact"/>
        <w:numPr>
          <w:ilvl w:val="0"/>
          <w:numId w:val="1003"/>
        </w:numPr>
      </w:pPr>
      <w:r>
        <w:t xml:space="preserve">Capability matrix with fp64/fp16/bf16 and deterministic-mode flags.</w:t>
      </w:r>
    </w:p>
    <w:p>
      <w:pPr>
        <w:pStyle w:val="Compact"/>
        <w:numPr>
          <w:ilvl w:val="0"/>
          <w:numId w:val="1003"/>
        </w:numPr>
      </w:pPr>
      <w:r>
        <w:t xml:space="preserve">AI broker: provider registry, policy router, provenance, local gateway.</w:t>
      </w:r>
    </w:p>
    <w:p>
      <w:pPr>
        <w:pStyle w:val="Compact"/>
        <w:numPr>
          <w:ilvl w:val="0"/>
          <w:numId w:val="1003"/>
        </w:numPr>
      </w:pPr>
      <w:r>
        <w:t xml:space="preserve">Local model manager: model store, backend selection, VRAM planning.</w:t>
      </w:r>
    </w:p>
    <w:p>
      <w:pPr>
        <w:pStyle w:val="FirstParagraph"/>
      </w:pPr>
      <w:r>
        <w:t xml:space="preserve">Exit criteria: the same pipeline runs on CPU and GPU with one flag; local and remote AI models are interchangeable behind the broker.</w:t>
      </w:r>
    </w:p>
    <w:bookmarkEnd w:id="11"/>
    <w:bookmarkStart w:id="12" w:name="X901c8d9cafc8d847c034a9ca10a92d15cb8e9dc"/>
    <w:p>
      <w:pPr>
        <w:pStyle w:val="Heading2"/>
      </w:pPr>
      <w:r>
        <w:t xml:space="preserve">Phase 3 — language and ecosystem (12–18 months)</w:t>
      </w:r>
    </w:p>
    <w:p>
      <w:pPr>
        <w:pStyle w:val="Compact"/>
        <w:numPr>
          <w:ilvl w:val="0"/>
          <w:numId w:val="1004"/>
        </w:numPr>
      </w:pPr>
      <w:r>
        <w:t xml:space="preserve">Static types and inference; modules and imports.</w:t>
      </w:r>
    </w:p>
    <w:p>
      <w:pPr>
        <w:pStyle w:val="Compact"/>
        <w:numPr>
          <w:ilvl w:val="0"/>
          <w:numId w:val="1004"/>
        </w:numPr>
      </w:pPr>
      <w:r>
        <w:t xml:space="preserve">Pattern matching and destructuring.</w:t>
      </w:r>
    </w:p>
    <w:p>
      <w:pPr>
        <w:pStyle w:val="Compact"/>
        <w:numPr>
          <w:ilvl w:val="0"/>
          <w:numId w:val="1004"/>
        </w:numPr>
      </w:pPr>
      <w:r>
        <w:t xml:space="preserve">Async and cancellation for long-running pipelines.</w:t>
      </w:r>
    </w:p>
    <w:p>
      <w:pPr>
        <w:pStyle w:val="Compact"/>
        <w:numPr>
          <w:ilvl w:val="0"/>
          <w:numId w:val="1004"/>
        </w:numPr>
      </w:pPr>
      <w:r>
        <w:t xml:space="preserve">Package registry and signing.</w:t>
      </w:r>
    </w:p>
    <w:p>
      <w:pPr>
        <w:pStyle w:val="Compact"/>
        <w:numPr>
          <w:ilvl w:val="0"/>
          <w:numId w:val="1004"/>
        </w:numPr>
      </w:pPr>
      <w:r>
        <w:t xml:space="preserve">Platform matrix: macOS notarization, Windows MSI, Linux packages, conda-forge, Spack.</w:t>
      </w:r>
    </w:p>
    <w:p>
      <w:pPr>
        <w:pStyle w:val="Compact"/>
        <w:numPr>
          <w:ilvl w:val="0"/>
          <w:numId w:val="1004"/>
        </w:numPr>
      </w:pPr>
      <w:r>
        <w:t xml:space="preserve">Community governance and a contribution guide.</w:t>
      </w:r>
    </w:p>
    <w:p>
      <w:pPr>
        <w:pStyle w:val="FirstParagraph"/>
      </w:pPr>
      <w:r>
        <w:t xml:space="preserve">Exit criteria: third parties publish non-trivial packages and programs.</w:t>
      </w:r>
    </w:p>
    <w:bookmarkEnd w:id="12"/>
    <w:bookmarkStart w:id="13" w:name="risks"/>
    <w:p>
      <w:pPr>
        <w:pStyle w:val="Heading2"/>
      </w:pPr>
      <w:r>
        <w:t xml:space="preserve">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latency dominates small calls</w:t>
            </w:r>
          </w:p>
        </w:tc>
        <w:tc>
          <w:tcPr/>
          <w:p>
            <w:pPr>
              <w:pStyle w:val="Compact"/>
            </w:pPr>
            <w:r>
              <w:t xml:space="preserve">Batch + Arrow IPC; keep large objects across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R/Python ABI drift</w:t>
            </w:r>
          </w:p>
        </w:tc>
        <w:tc>
          <w:tcPr/>
          <w:p>
            <w:pPr>
              <w:pStyle w:val="Compact"/>
            </w:pPr>
            <w:r>
              <w:t xml:space="preserve">Pin versions in the lockfile; process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fragmentation (</w:t>
            </w:r>
            <w:r>
              <w:rPr>
                <w:rStyle w:val="VerbatimChar"/>
              </w:rPr>
              <w:t xml:space="preserve">gfx803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gfx90a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sm_89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 matrix; refuse unsupported backends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explosion</w:t>
            </w:r>
          </w:p>
        </w:tc>
        <w:tc>
          <w:tcPr/>
          <w:p>
            <w:pPr>
              <w:pStyle w:val="Compact"/>
            </w:pPr>
            <w:r>
              <w:t xml:space="preserve">One vertical slice per phase; explicit non-goals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 adoption</w:t>
            </w:r>
          </w:p>
        </w:tc>
        <w:tc>
          <w:tcPr/>
          <w:p>
            <w:pPr>
              <w:pStyle w:val="Compact"/>
            </w:pPr>
            <w:r>
              <w:t xml:space="preserve">Reuse CRAN/PyPI; no migration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divergence</w:t>
            </w:r>
          </w:p>
        </w:tc>
        <w:tc>
          <w:tcPr/>
          <w:p>
            <w:pPr>
              <w:pStyle w:val="Compact"/>
            </w:pPr>
            <w:r>
              <w:t xml:space="preserve">Per-dtype tolerances; deterministic mode; conformance tests</w:t>
            </w:r>
          </w:p>
        </w:tc>
      </w:tr>
    </w:tbl>
    <w:bookmarkEnd w:id="13"/>
    <w:bookmarkStart w:id="14" w:name="immediate-next-tasks"/>
    <w:p>
      <w:pPr>
        <w:pStyle w:val="Heading2"/>
      </w:pPr>
      <w:r>
        <w:t xml:space="preserve">Immediate next tasks</w:t>
      </w:r>
    </w:p>
    <w:p>
      <w:pPr>
        <w:pStyle w:val="Compact"/>
        <w:numPr>
          <w:ilvl w:val="0"/>
          <w:numId w:val="1005"/>
        </w:numPr>
      </w:pPr>
      <w:r>
        <w:t xml:space="preserve">Replace JSON table transfer with Arrow IPC.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Parquet</w:t>
      </w:r>
      <w:r>
        <w:t xml:space="preserve"> </w:t>
      </w:r>
      <w:r>
        <w:t xml:space="preserve">read/write and schema inference.</w:t>
      </w:r>
    </w:p>
    <w:p>
      <w:pPr>
        <w:pStyle w:val="Compact"/>
        <w:numPr>
          <w:ilvl w:val="0"/>
          <w:numId w:val="1005"/>
        </w:numPr>
      </w:pPr>
      <w:r>
        <w:t xml:space="preserve">Add typed wrappers for</w:t>
      </w:r>
      <w:r>
        <w:t xml:space="preserve"> </w:t>
      </w:r>
      <w:r>
        <w:rPr>
          <w:rStyle w:val="VerbatimChar"/>
        </w:rPr>
        <w:t xml:space="preserve">DESeq2::DESeq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estimators.</w:t>
      </w:r>
    </w:p>
    <w:p>
      <w:pPr>
        <w:pStyle w:val="Compact"/>
        <w:numPr>
          <w:ilvl w:val="0"/>
          <w:numId w:val="1005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connexon.lock</w:t>
      </w:r>
      <w:r>
        <w:t xml:space="preserve"> </w:t>
      </w:r>
      <w:r>
        <w:t xml:space="preserve">writer and</w:t>
      </w:r>
      <w:r>
        <w:t xml:space="preserve"> </w:t>
      </w:r>
      <w:r>
        <w:rPr>
          <w:rStyle w:val="VerbatimChar"/>
        </w:rPr>
        <w:t xml:space="preserve">cnx env lock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cnx fmt</w:t>
      </w:r>
      <w:r>
        <w:t xml:space="preserve"> </w:t>
      </w:r>
      <w:r>
        <w:t xml:space="preserve">formatter and an LSP skeleton.</w:t>
      </w:r>
    </w:p>
    <w:bookmarkEnd w:id="14"/>
    <w:bookmarkEnd w:id="1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2026-10-19T09:48:58Z</dcterms:created>
  <dcterms:modified xsi:type="dcterms:W3CDTF">2026-10-19T09:48:58Z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