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3B8A32">
      <w:pPr>
        <w:spacing w:before="120" w:after="8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i w:val="0"/>
          <w:color w:val="000000" w:themeColor="text1"/>
          <w:sz w:val="44"/>
          <w14:textFill>
            <w14:solidFill>
              <w14:schemeClr w14:val="tx1"/>
            </w14:solidFill>
          </w14:textFill>
        </w:rPr>
        <w:t>红脉通·红色数字资源开放共享平台</w:t>
      </w:r>
    </w:p>
    <w:p w14:paraId="045B1639">
      <w:pPr>
        <w:spacing w:before="0" w:after="28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b w:val="0"/>
          <w:i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系统功能介绍</w:t>
      </w:r>
    </w:p>
    <w:p w14:paraId="6E8FC6EC">
      <w:pPr>
        <w:spacing w:before="280" w:after="160"/>
        <w:ind w:left="0" w:right="0"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  <w:u w:val="none"/>
        </w:rPr>
        <w:t>一、平台概述</w:t>
      </w:r>
    </w:p>
    <w:p w14:paraId="1769456B">
      <w:pPr>
        <w:spacing w:before="0" w:after="0" w:line="324" w:lineRule="auto"/>
        <w:ind w:left="0" w:right="0"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「红脉通」是针对党史馆、革命纪念馆、地方档案馆、高校马克思主义学院、文旅红色基地等机构之间长期存在的“数据孤岛”问题，设计并实现的一个多机构红色数字资源协同共享平台。平台通过统一的资源组织方式、分级共享机制和多角色权限体系，形成覆盖资源汇聚、审核、检索、授权、利用与展示的完整业务闭环。</w:t>
      </w:r>
    </w:p>
    <w:p w14:paraId="5DB9D17B">
      <w:pPr>
        <w:spacing w:before="0" w:after="0" w:line="324" w:lineRule="auto"/>
        <w:ind w:left="0" w:right="0"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系统采用「前端原生SPA+Node.js/Express后端+MySQL数据库」三层架构，共12个页面、24个RESTful接口、16张数据表。前端页面通过真实接口读写数据库，并非静态demo；同时提供在线静态演示版（GitHub Pages），供无后端环境下快速浏览。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highlight w:val="yellow"/>
          <w:u w:val="none"/>
        </w:rPr>
        <w:t>系统另提供 Windows 桌面版（Electron+内置SQLite，表结构与</w:t>
      </w:r>
      <w:bookmarkStart w:id="0" w:name="_GoBack"/>
      <w:bookmarkEnd w:id="0"/>
      <w:r>
        <w:rPr>
          <w:rFonts w:ascii="Times New Roman" w:hAnsi="Times New Roman" w:eastAsia="宋体" w:cs="Times New Roman"/>
          <w:b w:val="0"/>
          <w:i w:val="0"/>
          <w:color w:val="000000"/>
          <w:sz w:val="24"/>
          <w:highlight w:val="yellow"/>
          <w:u w:val="none"/>
        </w:rPr>
        <w:t>MySQL版一致），双击即用、零环境依赖。</w:t>
      </w:r>
    </w:p>
    <w:p w14:paraId="6EBB8544">
      <w:pPr>
        <w:spacing w:before="160" w:after="80" w:line="324" w:lineRule="auto"/>
        <w:ind w:left="0" w:right="0" w:firstLine="0"/>
        <w:jc w:val="center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  <w:u w:val="none"/>
        </w:rPr>
        <w:t>四类用户角色</w:t>
      </w:r>
    </w:p>
    <w:tbl>
      <w:tblPr>
        <w:tblStyle w:val="33"/>
        <w:tblW w:w="4998" w:type="pct"/>
        <w:jc w:val="center"/>
        <w:tblBorders>
          <w:top w:val="single" w:color="000000" w:sz="10" w:space="0"/>
          <w:left w:val="none" w:color="auto" w:sz="0" w:space="0"/>
          <w:bottom w:val="single" w:color="000000" w:sz="1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7"/>
        <w:gridCol w:w="2709"/>
        <w:gridCol w:w="4216"/>
      </w:tblGrid>
      <w:tr w14:paraId="40025648">
        <w:tblPrEx>
          <w:tblBorders>
            <w:top w:val="single" w:color="000000" w:sz="10" w:space="0"/>
            <w:left w:val="none" w:color="auto" w:sz="0" w:space="0"/>
            <w:bottom w:val="single" w:color="000000" w:sz="1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88" w:type="pct"/>
            <w:tcBorders>
              <w:bottom w:val="single" w:color="000000" w:sz="8" w:space="0"/>
            </w:tcBorders>
            <w:vAlign w:val="center"/>
          </w:tcPr>
          <w:p w14:paraId="28CCB92A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角色</w:t>
            </w:r>
          </w:p>
        </w:tc>
        <w:tc>
          <w:tcPr>
            <w:tcW w:w="1530" w:type="pct"/>
            <w:tcBorders>
              <w:bottom w:val="single" w:color="000000" w:sz="8" w:space="0"/>
            </w:tcBorders>
            <w:vAlign w:val="center"/>
          </w:tcPr>
          <w:p w14:paraId="302D5593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角色描述</w:t>
            </w:r>
          </w:p>
        </w:tc>
        <w:tc>
          <w:tcPr>
            <w:tcW w:w="2381" w:type="pct"/>
            <w:tcBorders>
              <w:bottom w:val="single" w:color="000000" w:sz="8" w:space="0"/>
            </w:tcBorders>
            <w:vAlign w:val="center"/>
          </w:tcPr>
          <w:p w14:paraId="318AD600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核心权限</w:t>
            </w:r>
          </w:p>
        </w:tc>
      </w:tr>
      <w:tr w14:paraId="22511EA2">
        <w:tblPrEx>
          <w:tblBorders>
            <w:top w:val="single" w:color="000000" w:sz="10" w:space="0"/>
            <w:left w:val="none" w:color="auto" w:sz="0" w:space="0"/>
            <w:bottom w:val="single" w:color="000000" w:sz="1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8" w:type="pct"/>
            <w:vAlign w:val="center"/>
          </w:tcPr>
          <w:p w14:paraId="104D43F2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平台管理员</w:t>
            </w:r>
          </w:p>
        </w:tc>
        <w:tc>
          <w:tcPr>
            <w:tcW w:w="1530" w:type="pct"/>
            <w:vAlign w:val="center"/>
          </w:tcPr>
          <w:p w14:paraId="75A33EB4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平台最高权限管理者</w:t>
            </w:r>
          </w:p>
        </w:tc>
        <w:tc>
          <w:tcPr>
            <w:tcW w:w="2381" w:type="pct"/>
            <w:vAlign w:val="center"/>
          </w:tcPr>
          <w:p w14:paraId="5D6832B7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机构审核、资源审核、系统配置、数据统计</w:t>
            </w:r>
          </w:p>
        </w:tc>
      </w:tr>
      <w:tr w14:paraId="5E6C4D70">
        <w:tblPrEx>
          <w:tblBorders>
            <w:top w:val="single" w:color="000000" w:sz="10" w:space="0"/>
            <w:left w:val="none" w:color="auto" w:sz="0" w:space="0"/>
            <w:bottom w:val="single" w:color="000000" w:sz="1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8" w:type="pct"/>
            <w:vAlign w:val="center"/>
          </w:tcPr>
          <w:p w14:paraId="3DC1CABE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机构管理员</w:t>
            </w:r>
          </w:p>
        </w:tc>
        <w:tc>
          <w:tcPr>
            <w:tcW w:w="1530" w:type="pct"/>
            <w:vAlign w:val="center"/>
          </w:tcPr>
          <w:p w14:paraId="0718DB3F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入驻机构的管理员账号</w:t>
            </w:r>
          </w:p>
        </w:tc>
        <w:tc>
          <w:tcPr>
            <w:tcW w:w="2381" w:type="pct"/>
            <w:vAlign w:val="center"/>
          </w:tcPr>
          <w:p w14:paraId="321F1852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资源上传、共享授权审批、机构资源管理</w:t>
            </w:r>
          </w:p>
        </w:tc>
      </w:tr>
      <w:tr w14:paraId="5C4C0EF0">
        <w:tblPrEx>
          <w:tblBorders>
            <w:top w:val="single" w:color="000000" w:sz="10" w:space="0"/>
            <w:left w:val="none" w:color="auto" w:sz="0" w:space="0"/>
            <w:bottom w:val="single" w:color="000000" w:sz="1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8" w:type="pct"/>
            <w:vAlign w:val="center"/>
          </w:tcPr>
          <w:p w14:paraId="014C140E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机构普通用户</w:t>
            </w:r>
          </w:p>
        </w:tc>
        <w:tc>
          <w:tcPr>
            <w:tcW w:w="1530" w:type="pct"/>
            <w:vAlign w:val="center"/>
          </w:tcPr>
          <w:p w14:paraId="131B8795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机构内部工作人员</w:t>
            </w:r>
          </w:p>
        </w:tc>
        <w:tc>
          <w:tcPr>
            <w:tcW w:w="2381" w:type="pct"/>
            <w:vAlign w:val="center"/>
          </w:tcPr>
          <w:p w14:paraId="788DB17A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资源检索、资源下载、共享申请提交</w:t>
            </w:r>
          </w:p>
        </w:tc>
      </w:tr>
      <w:tr w14:paraId="5F94F463">
        <w:tblPrEx>
          <w:tblBorders>
            <w:top w:val="single" w:color="000000" w:sz="10" w:space="0"/>
            <w:left w:val="none" w:color="auto" w:sz="0" w:space="0"/>
            <w:bottom w:val="single" w:color="000000" w:sz="1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8" w:type="pct"/>
            <w:vAlign w:val="center"/>
          </w:tcPr>
          <w:p w14:paraId="5FA5639C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个人用户</w:t>
            </w:r>
          </w:p>
        </w:tc>
        <w:tc>
          <w:tcPr>
            <w:tcW w:w="1530" w:type="pct"/>
            <w:vAlign w:val="center"/>
          </w:tcPr>
          <w:p w14:paraId="78BA278C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社会公众用户</w:t>
            </w:r>
          </w:p>
        </w:tc>
        <w:tc>
          <w:tcPr>
            <w:tcW w:w="2381" w:type="pct"/>
            <w:vAlign w:val="center"/>
          </w:tcPr>
          <w:p w14:paraId="2392E745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资源浏览、公开资源下载、个人收藏</w:t>
            </w:r>
          </w:p>
        </w:tc>
      </w:tr>
    </w:tbl>
    <w:p w14:paraId="2EE60B1A">
      <w:pPr>
        <w:spacing w:before="280" w:after="160"/>
        <w:ind w:left="0" w:right="0"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  <w:u w:val="none"/>
        </w:rPr>
        <w:t>二、功能总览</w:t>
      </w:r>
    </w:p>
    <w:p w14:paraId="10DA7F5C">
      <w:pPr>
        <w:spacing w:before="0" w:after="0" w:line="324" w:lineRule="auto"/>
        <w:ind w:left="0" w:right="0"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平台功能按业务链划分为7大模块，各模块通过用户身份、资源状态、机构归属及共享授权关系相互关联，共同支撑红色数字资源从进入平台到被检索、申请、授权和利用的全过程。</w:t>
      </w:r>
    </w:p>
    <w:tbl>
      <w:tblPr>
        <w:tblStyle w:val="33"/>
        <w:tblW w:w="4999" w:type="pct"/>
        <w:jc w:val="center"/>
        <w:tblBorders>
          <w:top w:val="single" w:color="000000" w:sz="10" w:space="0"/>
          <w:left w:val="none" w:color="auto" w:sz="0" w:space="0"/>
          <w:bottom w:val="single" w:color="000000" w:sz="1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0"/>
        <w:gridCol w:w="6414"/>
      </w:tblGrid>
      <w:tr w14:paraId="7C198CC9">
        <w:tblPrEx>
          <w:tblBorders>
            <w:top w:val="single" w:color="000000" w:sz="10" w:space="0"/>
            <w:left w:val="none" w:color="auto" w:sz="0" w:space="0"/>
            <w:bottom w:val="single" w:color="000000" w:sz="1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78" w:type="pct"/>
            <w:tcBorders>
              <w:bottom w:val="single" w:color="000000" w:sz="8" w:space="0"/>
            </w:tcBorders>
            <w:vAlign w:val="center"/>
          </w:tcPr>
          <w:p w14:paraId="3018701B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模块</w:t>
            </w:r>
          </w:p>
        </w:tc>
        <w:tc>
          <w:tcPr>
            <w:tcW w:w="3621" w:type="pct"/>
            <w:tcBorders>
              <w:bottom w:val="single" w:color="000000" w:sz="8" w:space="0"/>
            </w:tcBorders>
            <w:vAlign w:val="center"/>
          </w:tcPr>
          <w:p w14:paraId="16963059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主要功能</w:t>
            </w:r>
          </w:p>
        </w:tc>
      </w:tr>
      <w:tr w14:paraId="5ABB8361">
        <w:tblPrEx>
          <w:tblBorders>
            <w:top w:val="single" w:color="000000" w:sz="10" w:space="0"/>
            <w:left w:val="none" w:color="auto" w:sz="0" w:space="0"/>
            <w:bottom w:val="single" w:color="000000" w:sz="1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8" w:type="pct"/>
            <w:vAlign w:val="center"/>
          </w:tcPr>
          <w:p w14:paraId="10887111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用户认证</w:t>
            </w:r>
          </w:p>
        </w:tc>
        <w:tc>
          <w:tcPr>
            <w:tcW w:w="3621" w:type="pct"/>
            <w:vAlign w:val="center"/>
          </w:tcPr>
          <w:p w14:paraId="2C7B9671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注册、登录、JWT登录状态保持、基于角色的权限校验</w:t>
            </w:r>
          </w:p>
        </w:tc>
      </w:tr>
      <w:tr w14:paraId="575E95FD">
        <w:tblPrEx>
          <w:tblBorders>
            <w:top w:val="single" w:color="000000" w:sz="10" w:space="0"/>
            <w:left w:val="none" w:color="auto" w:sz="0" w:space="0"/>
            <w:bottom w:val="single" w:color="000000" w:sz="1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8" w:type="pct"/>
            <w:vAlign w:val="center"/>
          </w:tcPr>
          <w:p w14:paraId="18169845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资源管理</w:t>
            </w:r>
          </w:p>
        </w:tc>
        <w:tc>
          <w:tcPr>
            <w:tcW w:w="3621" w:type="pct"/>
            <w:vAlign w:val="center"/>
          </w:tcPr>
          <w:p w14:paraId="0B9793DD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标准化上传、分类组织、跨机构检索、在线预览、下载、审核、标签管理</w:t>
            </w:r>
          </w:p>
        </w:tc>
      </w:tr>
      <w:tr w14:paraId="5DE4B001">
        <w:tblPrEx>
          <w:tblBorders>
            <w:top w:val="single" w:color="000000" w:sz="10" w:space="0"/>
            <w:left w:val="none" w:color="auto" w:sz="0" w:space="0"/>
            <w:bottom w:val="single" w:color="000000" w:sz="1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8" w:type="pct"/>
            <w:vAlign w:val="center"/>
          </w:tcPr>
          <w:p w14:paraId="68C154C2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多机构协同</w:t>
            </w:r>
          </w:p>
        </w:tc>
        <w:tc>
          <w:tcPr>
            <w:tcW w:w="3621" w:type="pct"/>
            <w:vAlign w:val="center"/>
          </w:tcPr>
          <w:p w14:paraId="32CE3E7F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机构入驻申请、资质审核、信息维护、跨机构调取、共享授权审批</w:t>
            </w:r>
          </w:p>
        </w:tc>
      </w:tr>
      <w:tr w14:paraId="22184A41">
        <w:tblPrEx>
          <w:tblBorders>
            <w:top w:val="single" w:color="000000" w:sz="10" w:space="0"/>
            <w:left w:val="none" w:color="auto" w:sz="0" w:space="0"/>
            <w:bottom w:val="single" w:color="000000" w:sz="1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8" w:type="pct"/>
            <w:vAlign w:val="center"/>
          </w:tcPr>
          <w:p w14:paraId="779F1F58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资源共享权限</w:t>
            </w:r>
          </w:p>
        </w:tc>
        <w:tc>
          <w:tcPr>
            <w:tcW w:w="3621" w:type="pct"/>
            <w:vAlign w:val="center"/>
          </w:tcPr>
          <w:p w14:paraId="100DF3A7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1/2/3级共享等级、共享申请、授权记录、审批通知、操作日志</w:t>
            </w:r>
          </w:p>
        </w:tc>
      </w:tr>
      <w:tr w14:paraId="54DD6B89">
        <w:tblPrEx>
          <w:tblBorders>
            <w:top w:val="single" w:color="000000" w:sz="10" w:space="0"/>
            <w:left w:val="none" w:color="auto" w:sz="0" w:space="0"/>
            <w:bottom w:val="single" w:color="000000" w:sz="1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8" w:type="pct"/>
            <w:vAlign w:val="center"/>
          </w:tcPr>
          <w:p w14:paraId="6A1057E3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数字展馆</w:t>
            </w:r>
          </w:p>
        </w:tc>
        <w:tc>
          <w:tcPr>
            <w:tcW w:w="3621" w:type="pct"/>
            <w:vAlign w:val="center"/>
          </w:tcPr>
          <w:p w14:paraId="03B2D17E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多机构联合建馆、展品组合、发布管理、在线/VR浏览</w:t>
            </w:r>
          </w:p>
        </w:tc>
      </w:tr>
      <w:tr w14:paraId="79BE79EB">
        <w:tblPrEx>
          <w:tblBorders>
            <w:top w:val="single" w:color="000000" w:sz="10" w:space="0"/>
            <w:left w:val="none" w:color="auto" w:sz="0" w:space="0"/>
            <w:bottom w:val="single" w:color="000000" w:sz="1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8" w:type="pct"/>
            <w:vAlign w:val="center"/>
          </w:tcPr>
          <w:p w14:paraId="55874374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个人中心</w:t>
            </w:r>
          </w:p>
        </w:tc>
        <w:tc>
          <w:tcPr>
            <w:tcW w:w="3621" w:type="pct"/>
            <w:vAlign w:val="center"/>
          </w:tcPr>
          <w:p w14:paraId="720A7351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个人信息、收藏、下载记录、浏览历史、待审批事项</w:t>
            </w:r>
          </w:p>
        </w:tc>
      </w:tr>
      <w:tr w14:paraId="2DA69CD8">
        <w:tblPrEx>
          <w:tblBorders>
            <w:top w:val="single" w:color="000000" w:sz="10" w:space="0"/>
            <w:left w:val="none" w:color="auto" w:sz="0" w:space="0"/>
            <w:bottom w:val="single" w:color="000000" w:sz="1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8" w:type="pct"/>
            <w:vAlign w:val="center"/>
          </w:tcPr>
          <w:p w14:paraId="56A23D86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数据统计</w:t>
            </w:r>
          </w:p>
        </w:tc>
        <w:tc>
          <w:tcPr>
            <w:tcW w:w="3621" w:type="pct"/>
            <w:vAlign w:val="center"/>
          </w:tcPr>
          <w:p w14:paraId="2920ADF9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资源总量、类型分布、机构排行、共享授权统计（ECharts可视化）</w:t>
            </w:r>
          </w:p>
        </w:tc>
      </w:tr>
    </w:tbl>
    <w:p w14:paraId="0C742641">
      <w:pPr>
        <w:spacing w:after="40"/>
      </w:pPr>
    </w:p>
    <w:p w14:paraId="51746C24">
      <w:pPr>
        <w:spacing w:before="0" w:after="0" w:line="324" w:lineRule="auto"/>
        <w:ind w:left="0" w:right="0"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以上7大模块对应到前端12个页面，页面与功能的对应关系见下表，后续按页面逐一说明。</w:t>
      </w:r>
    </w:p>
    <w:tbl>
      <w:tblPr>
        <w:tblStyle w:val="33"/>
        <w:tblW w:w="4999" w:type="pct"/>
        <w:jc w:val="center"/>
        <w:tblBorders>
          <w:top w:val="single" w:color="000000" w:sz="10" w:space="0"/>
          <w:left w:val="none" w:color="auto" w:sz="0" w:space="0"/>
          <w:bottom w:val="single" w:color="000000" w:sz="1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8"/>
        <w:gridCol w:w="3176"/>
        <w:gridCol w:w="3970"/>
      </w:tblGrid>
      <w:tr w14:paraId="65FF8B82">
        <w:tblPrEx>
          <w:tblBorders>
            <w:top w:val="single" w:color="000000" w:sz="10" w:space="0"/>
            <w:left w:val="none" w:color="auto" w:sz="0" w:space="0"/>
            <w:bottom w:val="single" w:color="000000" w:sz="1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64" w:type="pct"/>
            <w:tcBorders>
              <w:bottom w:val="single" w:color="000000" w:sz="8" w:space="0"/>
            </w:tcBorders>
            <w:vAlign w:val="center"/>
          </w:tcPr>
          <w:p w14:paraId="21516152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页面</w:t>
            </w:r>
          </w:p>
        </w:tc>
        <w:tc>
          <w:tcPr>
            <w:tcW w:w="1793" w:type="pct"/>
            <w:tcBorders>
              <w:bottom w:val="single" w:color="000000" w:sz="8" w:space="0"/>
            </w:tcBorders>
            <w:vAlign w:val="center"/>
          </w:tcPr>
          <w:p w14:paraId="0391CBA4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入口</w:t>
            </w:r>
          </w:p>
        </w:tc>
        <w:tc>
          <w:tcPr>
            <w:tcW w:w="2241" w:type="pct"/>
            <w:tcBorders>
              <w:bottom w:val="single" w:color="000000" w:sz="8" w:space="0"/>
            </w:tcBorders>
            <w:vAlign w:val="center"/>
          </w:tcPr>
          <w:p w14:paraId="2A5710B9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对应功能</w:t>
            </w:r>
          </w:p>
        </w:tc>
      </w:tr>
      <w:tr w14:paraId="36213351">
        <w:tblPrEx>
          <w:tblBorders>
            <w:top w:val="single" w:color="000000" w:sz="10" w:space="0"/>
            <w:left w:val="none" w:color="auto" w:sz="0" w:space="0"/>
            <w:bottom w:val="single" w:color="000000" w:sz="1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pct"/>
            <w:vAlign w:val="center"/>
          </w:tcPr>
          <w:p w14:paraId="11230530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首页</w:t>
            </w:r>
          </w:p>
        </w:tc>
        <w:tc>
          <w:tcPr>
            <w:tcW w:w="1793" w:type="pct"/>
            <w:vAlign w:val="center"/>
          </w:tcPr>
          <w:p w14:paraId="7A5AEAB8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顶部导航「首页」</w:t>
            </w:r>
          </w:p>
        </w:tc>
        <w:tc>
          <w:tcPr>
            <w:tcW w:w="2241" w:type="pct"/>
            <w:vAlign w:val="center"/>
          </w:tcPr>
          <w:p w14:paraId="70F829EE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机构卡、热门资源、数据统计概览</w:t>
            </w:r>
          </w:p>
        </w:tc>
      </w:tr>
      <w:tr w14:paraId="62011C50">
        <w:tblPrEx>
          <w:tblBorders>
            <w:top w:val="single" w:color="000000" w:sz="10" w:space="0"/>
            <w:left w:val="none" w:color="auto" w:sz="0" w:space="0"/>
            <w:bottom w:val="single" w:color="000000" w:sz="1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pct"/>
            <w:vAlign w:val="center"/>
          </w:tcPr>
          <w:p w14:paraId="65D1EF3E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全域资源库</w:t>
            </w:r>
          </w:p>
        </w:tc>
        <w:tc>
          <w:tcPr>
            <w:tcW w:w="1793" w:type="pct"/>
            <w:vAlign w:val="center"/>
          </w:tcPr>
          <w:p w14:paraId="7D7AFAA0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顶部导航「全域资源库」</w:t>
            </w:r>
          </w:p>
        </w:tc>
        <w:tc>
          <w:tcPr>
            <w:tcW w:w="2241" w:type="pct"/>
            <w:vAlign w:val="center"/>
          </w:tcPr>
          <w:p w14:paraId="792A0D3A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跨机构多维筛选检索</w:t>
            </w:r>
          </w:p>
        </w:tc>
      </w:tr>
      <w:tr w14:paraId="44972ED2">
        <w:tblPrEx>
          <w:tblBorders>
            <w:top w:val="single" w:color="000000" w:sz="10" w:space="0"/>
            <w:left w:val="none" w:color="auto" w:sz="0" w:space="0"/>
            <w:bottom w:val="single" w:color="000000" w:sz="1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pct"/>
            <w:vAlign w:val="center"/>
          </w:tcPr>
          <w:p w14:paraId="5D51B184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机构协同中心</w:t>
            </w:r>
          </w:p>
        </w:tc>
        <w:tc>
          <w:tcPr>
            <w:tcW w:w="1793" w:type="pct"/>
            <w:vAlign w:val="center"/>
          </w:tcPr>
          <w:p w14:paraId="35A9989E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顶部导航「机构协同中心」</w:t>
            </w:r>
          </w:p>
        </w:tc>
        <w:tc>
          <w:tcPr>
            <w:tcW w:w="2241" w:type="pct"/>
            <w:vAlign w:val="center"/>
          </w:tcPr>
          <w:p w14:paraId="5231EC48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机构列表、入驻申请管理</w:t>
            </w:r>
          </w:p>
        </w:tc>
      </w:tr>
      <w:tr w14:paraId="64304689">
        <w:tblPrEx>
          <w:tblBorders>
            <w:top w:val="single" w:color="000000" w:sz="10" w:space="0"/>
            <w:left w:val="none" w:color="auto" w:sz="0" w:space="0"/>
            <w:bottom w:val="single" w:color="000000" w:sz="1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pct"/>
            <w:vAlign w:val="center"/>
          </w:tcPr>
          <w:p w14:paraId="34F5CCDF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资源上传</w:t>
            </w:r>
          </w:p>
        </w:tc>
        <w:tc>
          <w:tcPr>
            <w:tcW w:w="1793" w:type="pct"/>
            <w:vAlign w:val="center"/>
          </w:tcPr>
          <w:p w14:paraId="7E6B93C2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顶部导航「资源上传」</w:t>
            </w:r>
          </w:p>
        </w:tc>
        <w:tc>
          <w:tcPr>
            <w:tcW w:w="2241" w:type="pct"/>
            <w:vAlign w:val="center"/>
          </w:tcPr>
          <w:p w14:paraId="195F8F7B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机构资源标准化上传</w:t>
            </w:r>
          </w:p>
        </w:tc>
      </w:tr>
      <w:tr w14:paraId="6DA14448">
        <w:tblPrEx>
          <w:tblBorders>
            <w:top w:val="single" w:color="000000" w:sz="10" w:space="0"/>
            <w:left w:val="none" w:color="auto" w:sz="0" w:space="0"/>
            <w:bottom w:val="single" w:color="000000" w:sz="1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pct"/>
            <w:vAlign w:val="center"/>
          </w:tcPr>
          <w:p w14:paraId="1E649C32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联合展馆</w:t>
            </w:r>
          </w:p>
        </w:tc>
        <w:tc>
          <w:tcPr>
            <w:tcW w:w="1793" w:type="pct"/>
            <w:vAlign w:val="center"/>
          </w:tcPr>
          <w:p w14:paraId="7E69C152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顶部导航「联合展馆」</w:t>
            </w:r>
          </w:p>
        </w:tc>
        <w:tc>
          <w:tcPr>
            <w:tcW w:w="2241" w:type="pct"/>
            <w:vAlign w:val="center"/>
          </w:tcPr>
          <w:p w14:paraId="7DAE4F30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多机构联合数字专题展馆</w:t>
            </w:r>
          </w:p>
        </w:tc>
      </w:tr>
      <w:tr w14:paraId="0D437CA7">
        <w:tblPrEx>
          <w:tblBorders>
            <w:top w:val="single" w:color="000000" w:sz="10" w:space="0"/>
            <w:left w:val="none" w:color="auto" w:sz="0" w:space="0"/>
            <w:bottom w:val="single" w:color="000000" w:sz="1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pct"/>
            <w:vAlign w:val="center"/>
          </w:tcPr>
          <w:p w14:paraId="4A266EF4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共享授权</w:t>
            </w:r>
          </w:p>
        </w:tc>
        <w:tc>
          <w:tcPr>
            <w:tcW w:w="1793" w:type="pct"/>
            <w:vAlign w:val="center"/>
          </w:tcPr>
          <w:p w14:paraId="4B378CFA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用户下拉菜单「共享授权」</w:t>
            </w:r>
          </w:p>
        </w:tc>
        <w:tc>
          <w:tcPr>
            <w:tcW w:w="2241" w:type="pct"/>
            <w:vAlign w:val="center"/>
          </w:tcPr>
          <w:p w14:paraId="4AFB3EA8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调取申请审批（通过/驳回）</w:t>
            </w:r>
          </w:p>
        </w:tc>
      </w:tr>
      <w:tr w14:paraId="70783AFA">
        <w:tblPrEx>
          <w:tblBorders>
            <w:top w:val="single" w:color="000000" w:sz="10" w:space="0"/>
            <w:left w:val="none" w:color="auto" w:sz="0" w:space="0"/>
            <w:bottom w:val="single" w:color="000000" w:sz="1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pct"/>
            <w:vAlign w:val="center"/>
          </w:tcPr>
          <w:p w14:paraId="007F143A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数据统计</w:t>
            </w:r>
          </w:p>
        </w:tc>
        <w:tc>
          <w:tcPr>
            <w:tcW w:w="1793" w:type="pct"/>
            <w:vAlign w:val="center"/>
          </w:tcPr>
          <w:p w14:paraId="4DB1436A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用户下拉菜单「数据统计」</w:t>
            </w:r>
          </w:p>
        </w:tc>
        <w:tc>
          <w:tcPr>
            <w:tcW w:w="2241" w:type="pct"/>
            <w:vAlign w:val="center"/>
          </w:tcPr>
          <w:p w14:paraId="757D5DFB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ECharts可视化仪表盘</w:t>
            </w:r>
          </w:p>
        </w:tc>
      </w:tr>
      <w:tr w14:paraId="59173A9E">
        <w:tblPrEx>
          <w:tblBorders>
            <w:top w:val="single" w:color="000000" w:sz="10" w:space="0"/>
            <w:left w:val="none" w:color="auto" w:sz="0" w:space="0"/>
            <w:bottom w:val="single" w:color="000000" w:sz="1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pct"/>
            <w:vAlign w:val="center"/>
          </w:tcPr>
          <w:p w14:paraId="596E4111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资源详情</w:t>
            </w:r>
          </w:p>
        </w:tc>
        <w:tc>
          <w:tcPr>
            <w:tcW w:w="1793" w:type="pct"/>
            <w:vAlign w:val="center"/>
          </w:tcPr>
          <w:p w14:paraId="2962E2EB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点击资源卡片</w:t>
            </w:r>
          </w:p>
        </w:tc>
        <w:tc>
          <w:tcPr>
            <w:tcW w:w="2241" w:type="pct"/>
            <w:vAlign w:val="center"/>
          </w:tcPr>
          <w:p w14:paraId="353B5B6C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资源详情、跨机构调取申请</w:t>
            </w:r>
          </w:p>
        </w:tc>
      </w:tr>
      <w:tr w14:paraId="19E53961">
        <w:tblPrEx>
          <w:tblBorders>
            <w:top w:val="single" w:color="000000" w:sz="10" w:space="0"/>
            <w:left w:val="none" w:color="auto" w:sz="0" w:space="0"/>
            <w:bottom w:val="single" w:color="000000" w:sz="1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pct"/>
            <w:vAlign w:val="center"/>
          </w:tcPr>
          <w:p w14:paraId="306B6C09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个人中心</w:t>
            </w:r>
          </w:p>
        </w:tc>
        <w:tc>
          <w:tcPr>
            <w:tcW w:w="1793" w:type="pct"/>
            <w:vAlign w:val="center"/>
          </w:tcPr>
          <w:p w14:paraId="20897905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用户下拉菜单「个人中心」</w:t>
            </w:r>
          </w:p>
        </w:tc>
        <w:tc>
          <w:tcPr>
            <w:tcW w:w="2241" w:type="pct"/>
            <w:vAlign w:val="center"/>
          </w:tcPr>
          <w:p w14:paraId="21C066B7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收藏、下载记录、浏览历史、待审批</w:t>
            </w:r>
          </w:p>
        </w:tc>
      </w:tr>
      <w:tr w14:paraId="5900EB00">
        <w:tblPrEx>
          <w:tblBorders>
            <w:top w:val="single" w:color="000000" w:sz="10" w:space="0"/>
            <w:left w:val="none" w:color="auto" w:sz="0" w:space="0"/>
            <w:bottom w:val="single" w:color="000000" w:sz="1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pct"/>
            <w:vAlign w:val="center"/>
          </w:tcPr>
          <w:p w14:paraId="5C4CCB42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用户登录</w:t>
            </w:r>
          </w:p>
        </w:tc>
        <w:tc>
          <w:tcPr>
            <w:tcW w:w="1793" w:type="pct"/>
            <w:vAlign w:val="center"/>
          </w:tcPr>
          <w:p w14:paraId="512A59FA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头部「登录」按钮</w:t>
            </w:r>
          </w:p>
        </w:tc>
        <w:tc>
          <w:tcPr>
            <w:tcW w:w="2241" w:type="pct"/>
            <w:vAlign w:val="center"/>
          </w:tcPr>
          <w:p w14:paraId="3B42A508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账号密码登录</w:t>
            </w:r>
          </w:p>
        </w:tc>
      </w:tr>
      <w:tr w14:paraId="08D1850A">
        <w:tblPrEx>
          <w:tblBorders>
            <w:top w:val="single" w:color="000000" w:sz="10" w:space="0"/>
            <w:left w:val="none" w:color="auto" w:sz="0" w:space="0"/>
            <w:bottom w:val="single" w:color="000000" w:sz="1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pct"/>
            <w:vAlign w:val="center"/>
          </w:tcPr>
          <w:p w14:paraId="060C511D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机构入驻</w:t>
            </w:r>
          </w:p>
        </w:tc>
        <w:tc>
          <w:tcPr>
            <w:tcW w:w="1793" w:type="pct"/>
            <w:vAlign w:val="center"/>
          </w:tcPr>
          <w:p w14:paraId="5F895A5E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头部「机构入驻」按钮</w:t>
            </w:r>
          </w:p>
        </w:tc>
        <w:tc>
          <w:tcPr>
            <w:tcW w:w="2241" w:type="pct"/>
            <w:vAlign w:val="center"/>
          </w:tcPr>
          <w:p w14:paraId="7EC38E60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机构协同入驻申请</w:t>
            </w:r>
          </w:p>
        </w:tc>
      </w:tr>
      <w:tr w14:paraId="65E0AE3A">
        <w:tblPrEx>
          <w:tblBorders>
            <w:top w:val="single" w:color="000000" w:sz="10" w:space="0"/>
            <w:left w:val="none" w:color="auto" w:sz="0" w:space="0"/>
            <w:bottom w:val="single" w:color="000000" w:sz="1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pct"/>
            <w:vAlign w:val="center"/>
          </w:tcPr>
          <w:p w14:paraId="4163F4D7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开放API文档</w:t>
            </w:r>
          </w:p>
        </w:tc>
        <w:tc>
          <w:tcPr>
            <w:tcW w:w="1793" w:type="pct"/>
            <w:vAlign w:val="center"/>
          </w:tcPr>
          <w:p w14:paraId="7643A26D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公告条/页脚入口</w:t>
            </w:r>
          </w:p>
        </w:tc>
        <w:tc>
          <w:tcPr>
            <w:tcW w:w="2241" w:type="pct"/>
            <w:vAlign w:val="center"/>
          </w:tcPr>
          <w:p w14:paraId="23917D57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接口文档展示</w:t>
            </w:r>
          </w:p>
        </w:tc>
      </w:tr>
    </w:tbl>
    <w:p w14:paraId="20C59C1C">
      <w:pPr>
        <w:spacing w:before="280" w:after="160"/>
        <w:ind w:left="0" w:right="0"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  <w:u w:val="none"/>
        </w:rPr>
        <w:t>三、分页面功能详解</w:t>
      </w:r>
    </w:p>
    <w:p w14:paraId="4B59BC07">
      <w:pPr>
        <w:spacing w:before="200" w:after="10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  <w:u w:val="none"/>
        </w:rPr>
        <w:t>3.1 首页</w:t>
      </w:r>
    </w:p>
    <w:p w14:paraId="041E2C1E">
      <w:pPr>
        <w:spacing w:before="0" w:after="0" w:line="324" w:lineRule="auto"/>
        <w:ind w:left="0" w:right="0"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首页是平台的统一入口，顶部为导航栏，主体由「入驻机构」「热门资源」「数据统计」三部分组成。机构卡以5列卡片展示已认证机构；热门资源按浏览量排序展示4条资源卡片；数据统计块展示平台资源总量、机构数量、共享授权数等关键指标。</w:t>
      </w:r>
    </w:p>
    <w:p w14:paraId="3332AEF2">
      <w:pPr>
        <w:pStyle w:val="16"/>
        <w:spacing w:before="0" w:after="0" w:line="324" w:lineRule="auto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机构卡、热门资源、统计数字均从数据库真实渲染（后端可用时）。</w:t>
      </w:r>
    </w:p>
    <w:p w14:paraId="61C20CA5">
      <w:pPr>
        <w:pStyle w:val="16"/>
        <w:spacing w:before="0" w:after="0" w:line="324" w:lineRule="auto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点击机构卡进入机构协同中心，点击资源卡进入资源详情。</w:t>
      </w:r>
    </w:p>
    <w:p w14:paraId="6C7019F0">
      <w:pPr>
        <w:spacing w:before="80" w:after="160" w:line="324" w:lineRule="auto"/>
        <w:ind w:left="0" w:right="0" w:firstLine="0"/>
        <w:jc w:val="center"/>
      </w:pPr>
      <w:r>
        <w:drawing>
          <wp:inline distT="0" distB="0" distL="114300" distR="114300">
            <wp:extent cx="5473065" cy="3220720"/>
            <wp:effectExtent l="0" t="0" r="63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681E6">
      <w:pPr>
        <w:spacing w:before="200" w:after="10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  <w:u w:val="none"/>
        </w:rPr>
        <w:t>3.2 全域资源库</w:t>
      </w:r>
    </w:p>
    <w:p w14:paraId="23891972">
      <w:pPr>
        <w:spacing w:before="0" w:after="0" w:line="324" w:lineRule="auto"/>
        <w:ind w:left="0" w:right="0"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全域资源库提供跨全部入驻机构的统一检索能力。用户可按关键词、所属机构、资源类型（一级分类）、共享等级、资源年代进行组合筛选，结果以卡片列表分页展示，并标注资源的共享等级中文名、类型、标签等可读字段。</w:t>
      </w:r>
    </w:p>
    <w:p w14:paraId="4BC160D1">
      <w:pPr>
        <w:pStyle w:val="16"/>
        <w:spacing w:before="0" w:after="0" w:line="324" w:lineRule="auto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关键词检索默认走LIKE模糊匹配，标题与元数据描述均可命中。</w:t>
      </w:r>
    </w:p>
    <w:p w14:paraId="28D251D7">
      <w:pPr>
        <w:pStyle w:val="16"/>
        <w:spacing w:before="0" w:after="0" w:line="324" w:lineRule="auto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筛选条件可叠加，实时调用/v1/resource/search接口。</w:t>
      </w:r>
    </w:p>
    <w:p w14:paraId="058FCEC9">
      <w:pPr>
        <w:spacing w:before="80" w:after="160" w:line="324" w:lineRule="auto"/>
        <w:ind w:left="0" w:right="0" w:firstLine="0"/>
        <w:jc w:val="center"/>
      </w:pPr>
      <w:r>
        <w:drawing>
          <wp:inline distT="0" distB="0" distL="114300" distR="114300">
            <wp:extent cx="5471795" cy="3209290"/>
            <wp:effectExtent l="0" t="0" r="1905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1795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85765" cy="3399790"/>
            <wp:effectExtent l="0" t="0" r="635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39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39207">
      <w:pPr>
        <w:spacing w:before="200" w:after="10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  <w:u w:val="none"/>
        </w:rPr>
        <w:t>3.3 资源详情与跨机构调取</w:t>
      </w:r>
    </w:p>
    <w:p w14:paraId="6DFDA0AE">
      <w:pPr>
        <w:spacing w:before="0" w:after="0" w:line="324" w:lineRule="auto"/>
        <w:ind w:left="0" w:right="0"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点击资源卡片进入详情页，展示资源标题、所属机构、分类、共享等级、元数据描述、年代标签、关联标签、文件列表（图片/文档/3D/音视频可在线预览）以及浏览次数。登录后的机构用户可点击「申请跨机构调取」，弹出申请表单。</w:t>
      </w:r>
    </w:p>
    <w:p w14:paraId="679B2E8C">
      <w:pPr>
        <w:pStyle w:val="16"/>
        <w:spacing w:before="0" w:after="0" w:line="324" w:lineRule="auto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填写用途、使用期限、联系人后提交，写入share_auth表并自动通知资源所属机构管理员。</w:t>
      </w:r>
    </w:p>
    <w:p w14:paraId="325E26F5">
      <w:pPr>
        <w:pStyle w:val="16"/>
        <w:spacing w:before="0" w:after="0" w:line="324" w:lineRule="auto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浏览详情会自动使资源view_count加1。</w:t>
      </w:r>
    </w:p>
    <w:p w14:paraId="5470BBFF">
      <w:pPr>
        <w:spacing w:before="80" w:after="160" w:line="324" w:lineRule="auto"/>
        <w:ind w:left="0" w:right="0" w:firstLine="0"/>
        <w:jc w:val="center"/>
      </w:pPr>
      <w:r>
        <w:drawing>
          <wp:inline distT="0" distB="0" distL="114300" distR="114300">
            <wp:extent cx="5474335" cy="3397885"/>
            <wp:effectExtent l="0" t="0" r="12065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339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85765" cy="3611880"/>
            <wp:effectExtent l="0" t="0" r="635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E1836">
      <w:pPr>
        <w:spacing w:before="200" w:after="10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  <w:u w:val="none"/>
        </w:rPr>
        <w:t>3.4 机构协同中心与机构入驻</w:t>
      </w:r>
    </w:p>
    <w:p w14:paraId="68E638EA">
      <w:pPr>
        <w:spacing w:before="0" w:after="0" w:line="324" w:lineRule="auto"/>
        <w:ind w:left="0" w:right="0"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机构协同中心以表格展示全部入驻机构（机构名、类型、资源数、状态），供用户了解平台参与主体。未入驻机构可通过「机构入驻」入口提交申请，填写机构全称、类型、统一社会信用代码、对接人、入驻理由并上传资质证明文件。</w:t>
      </w:r>
    </w:p>
    <w:p w14:paraId="217DDDB2">
      <w:pPr>
        <w:pStyle w:val="16"/>
        <w:spacing w:before="0" w:after="0" w:line="324" w:lineRule="auto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入驻申请提交后机构状态为「待审核」（status=0），由平台管理员审核。</w:t>
      </w:r>
    </w:p>
    <w:p w14:paraId="2A7F6B5A">
      <w:pPr>
        <w:pStyle w:val="16"/>
        <w:spacing w:before="0" w:after="0" w:line="324" w:lineRule="auto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机构类型编码与中文名的对应关系见报告附录C。</w:t>
      </w:r>
    </w:p>
    <w:p w14:paraId="5676FECB">
      <w:pPr>
        <w:spacing w:before="80" w:after="160" w:line="324" w:lineRule="auto"/>
        <w:ind w:left="0" w:right="0" w:firstLine="0"/>
        <w:jc w:val="center"/>
      </w:pPr>
      <w:r>
        <w:drawing>
          <wp:inline distT="0" distB="0" distL="114300" distR="114300">
            <wp:extent cx="5485765" cy="3652520"/>
            <wp:effectExtent l="0" t="0" r="635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65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9F9FA">
      <w:pPr>
        <w:spacing w:before="80" w:after="160" w:line="324" w:lineRule="auto"/>
        <w:ind w:left="0" w:right="0" w:firstLine="0"/>
        <w:jc w:val="center"/>
      </w:pPr>
      <w:r>
        <w:drawing>
          <wp:inline distT="0" distB="0" distL="114300" distR="114300">
            <wp:extent cx="5481320" cy="3830955"/>
            <wp:effectExtent l="0" t="0" r="5080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383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C6D8B">
      <w:pPr>
        <w:spacing w:before="200" w:after="10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  <w:u w:val="none"/>
        </w:rPr>
        <w:t>3.5 资源标准化上传</w:t>
      </w:r>
    </w:p>
    <w:p w14:paraId="581C9E40">
      <w:pPr>
        <w:spacing w:before="0" w:after="0" w:line="324" w:lineRule="auto"/>
        <w:ind w:left="0" w:right="0"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机构管理员可在「资源上传」页按统一元数据标准提交资源：标题、资源类型（二级分类）、元数据描述、资源年代、共享等级（1完全公开/2授权访问/3机构内部），并支持多文件批量上传（单文件≤500MB）。提交后资源进入「待审核」状态，由平台管理员审核发布。</w:t>
      </w:r>
    </w:p>
    <w:p w14:paraId="6F43038B">
      <w:pPr>
        <w:pStyle w:val="16"/>
        <w:spacing w:before="0" w:after="0" w:line="324" w:lineRule="auto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上传使用multipart/form-data，后端multer中间件落盘，同时写入resource与resource_file表。</w:t>
      </w:r>
    </w:p>
    <w:p w14:paraId="0FB55421">
      <w:pPr>
        <w:pStyle w:val="16"/>
        <w:spacing w:before="0" w:after="0" w:line="324" w:lineRule="auto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共享等级决定资源的可见与下载权限，是分级共享机制的关键字段。</w:t>
      </w:r>
    </w:p>
    <w:p w14:paraId="72116E6F">
      <w:pPr>
        <w:spacing w:before="80" w:after="160" w:line="324" w:lineRule="auto"/>
        <w:ind w:left="0" w:right="0" w:firstLine="0"/>
        <w:jc w:val="center"/>
      </w:pPr>
      <w:r>
        <w:drawing>
          <wp:inline distT="0" distB="0" distL="114300" distR="114300">
            <wp:extent cx="5475605" cy="3646170"/>
            <wp:effectExtent l="0" t="0" r="10795" b="1143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364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648B9">
      <w:pPr>
        <w:spacing w:before="200" w:after="10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  <w:u w:val="none"/>
        </w:rPr>
        <w:t>3.6 联合数字专题展馆</w:t>
      </w:r>
    </w:p>
    <w:p w14:paraId="1355B417">
      <w:pPr>
        <w:spacing w:before="0" w:after="0" w:line="324" w:lineRule="auto"/>
        <w:ind w:left="0" w:right="0"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联合展馆支持多个机构围绕同一主题共建数字展馆，从不同机构资源库中组合展品，形成具有主题叙事结构的专题展示。普通用户可在线浏览展馆，部分资源支持VR全景沉浸式浏览。</w:t>
      </w:r>
    </w:p>
    <w:p w14:paraId="06D56B7F">
      <w:pPr>
        <w:pStyle w:val="16"/>
        <w:spacing w:before="0" w:after="0" w:line="324" w:lineRule="auto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展馆与机构、展馆与资源均为多对多关系，通过中间关联表实现。</w:t>
      </w:r>
    </w:p>
    <w:p w14:paraId="17A136AB">
      <w:pPr>
        <w:spacing w:before="80" w:after="160" w:line="324" w:lineRule="auto"/>
        <w:ind w:left="0" w:right="0" w:firstLine="0"/>
        <w:jc w:val="center"/>
      </w:pPr>
      <w:r>
        <w:drawing>
          <wp:inline distT="0" distB="0" distL="114300" distR="114300">
            <wp:extent cx="5478780" cy="3544570"/>
            <wp:effectExtent l="0" t="0" r="7620" b="1143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354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07DE5">
      <w:pPr>
        <w:spacing w:before="200" w:after="10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  <w:u w:val="none"/>
        </w:rPr>
        <w:t>3.7 共享授权审批</w:t>
      </w:r>
    </w:p>
    <w:p w14:paraId="20DFFA46">
      <w:pPr>
        <w:spacing w:before="0" w:after="0" w:line="324" w:lineRule="auto"/>
        <w:ind w:left="0" w:right="0"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共享授权页分「收到的申请」与「发起的申请」两个列表。机构管理员可查看本机构收到的跨机构调取申请，并对每条申请执行「通过」或「驳回」操作，填写审批意见。审批完成后状态变更，同时自动通知申请人并写入操作日志。</w:t>
      </w:r>
    </w:p>
    <w:p w14:paraId="28F18712">
      <w:pPr>
        <w:pStyle w:val="16"/>
        <w:spacing w:before="0" w:after="0" w:line="324" w:lineRule="auto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申请与审批均在后端事务中完成，保证share_auth、notification、operation_log三表数据一致。</w:t>
      </w:r>
    </w:p>
    <w:p w14:paraId="4E188C6D">
      <w:pPr>
        <w:spacing w:before="80" w:after="160" w:line="324" w:lineRule="auto"/>
        <w:ind w:left="0" w:right="0" w:firstLine="0"/>
        <w:jc w:val="center"/>
      </w:pPr>
      <w:r>
        <w:drawing>
          <wp:inline distT="0" distB="0" distL="114300" distR="114300">
            <wp:extent cx="5478145" cy="2978150"/>
            <wp:effectExtent l="0" t="0" r="825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85765" cy="2567940"/>
            <wp:effectExtent l="0" t="0" r="635" b="1016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874B3">
      <w:pPr>
        <w:spacing w:before="200" w:after="10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  <w:u w:val="none"/>
        </w:rPr>
        <w:t>3.8 数据统计仪表盘</w:t>
      </w:r>
    </w:p>
    <w:p w14:paraId="57E7D1AF">
      <w:pPr>
        <w:spacing w:before="0" w:after="0" w:line="324" w:lineRule="auto"/>
        <w:ind w:left="0" w:right="0"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数据统计仪表盘使用ECharts绘制图表，直观展示平台整体运行情况：资源类型分布（饼图）、机构资源贡献排行（柱状图）、资源月度增长趋势（折线图）等，数据来自/v1/stats/platform接口的聚合结果。</w:t>
      </w:r>
    </w:p>
    <w:p w14:paraId="76B757B5">
      <w:pPr>
        <w:pStyle w:val="16"/>
        <w:spacing w:before="0" w:after="0" w:line="324" w:lineRule="auto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图表随窗口resize自适应，数据真实来自数据库统计。</w:t>
      </w:r>
    </w:p>
    <w:p w14:paraId="17E474C2">
      <w:pPr>
        <w:spacing w:before="80" w:after="160" w:line="324" w:lineRule="auto"/>
        <w:ind w:left="0" w:right="0" w:firstLine="0"/>
        <w:jc w:val="center"/>
      </w:pPr>
      <w:r>
        <w:drawing>
          <wp:inline distT="0" distB="0" distL="114300" distR="114300">
            <wp:extent cx="5474335" cy="3586480"/>
            <wp:effectExtent l="0" t="0" r="12065" b="762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358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25714">
      <w:pPr>
        <w:spacing w:before="200" w:after="10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  <w:u w:val="none"/>
        </w:rPr>
        <w:t>3.9 个人中心</w:t>
      </w:r>
    </w:p>
    <w:p w14:paraId="348D5461">
      <w:pPr>
        <w:spacing w:before="0" w:after="0" w:line="324" w:lineRule="auto"/>
        <w:ind w:left="0" w:right="0"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个人中心集中呈现当前用户相关信息：账号与角色、我的收藏、下载记录、浏览历史，以及机构管理员需要处理的待审批事项。</w:t>
      </w:r>
    </w:p>
    <w:p w14:paraId="6CC05068">
      <w:pPr>
        <w:pStyle w:val="16"/>
        <w:spacing w:before="0" w:after="0" w:line="324" w:lineRule="auto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收藏列表可直接取消收藏；待审批事项可快捷跳转到共享授权页处理。</w:t>
      </w:r>
    </w:p>
    <w:p w14:paraId="1F760023">
      <w:pPr>
        <w:spacing w:before="80" w:after="160" w:line="324" w:lineRule="auto"/>
        <w:ind w:left="0" w:right="0" w:firstLine="0"/>
        <w:jc w:val="center"/>
      </w:pPr>
      <w:r>
        <w:drawing>
          <wp:inline distT="0" distB="0" distL="114300" distR="114300">
            <wp:extent cx="5481320" cy="3405505"/>
            <wp:effectExtent l="0" t="0" r="5080" b="10795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340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1699A">
      <w:pPr>
        <w:spacing w:before="200" w:after="10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  <w:u w:val="none"/>
        </w:rPr>
        <w:t>3.10 用户登录</w:t>
      </w:r>
    </w:p>
    <w:p w14:paraId="49322C4B">
      <w:pPr>
        <w:spacing w:before="0" w:after="0" w:line="324" w:lineRule="auto"/>
        <w:ind w:left="0" w:right="0"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登录页支持账号密码登录，成功后后端签发7天有效期的JWT令牌，前端将令牌与用户信息存入localStorage。登录后头部隐藏「登录/机构入驻」按钮，显示用户下拉菜单与头像（取用户名首字）。</w:t>
      </w:r>
    </w:p>
    <w:p w14:paraId="3DC1B994">
      <w:pPr>
        <w:pStyle w:val="16"/>
        <w:spacing w:before="0" w:after="0" w:line="324" w:lineRule="auto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密码采用bcrypt加盐哈希存储与比对，绝不保存明文。</w:t>
      </w:r>
    </w:p>
    <w:p w14:paraId="56974FDA">
      <w:pPr>
        <w:spacing w:before="80" w:after="160" w:line="324" w:lineRule="auto"/>
        <w:ind w:left="0" w:right="0" w:firstLine="0"/>
        <w:jc w:val="center"/>
      </w:pPr>
      <w:r>
        <w:drawing>
          <wp:inline distT="0" distB="0" distL="114300" distR="114300">
            <wp:extent cx="5483860" cy="3536950"/>
            <wp:effectExtent l="0" t="0" r="2540" b="6350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53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83225" cy="3629025"/>
            <wp:effectExtent l="0" t="0" r="3175" b="3175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BDAF4">
      <w:pPr>
        <w:spacing w:before="200" w:after="10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  <w:u w:val="none"/>
        </w:rPr>
        <w:t>3.11 开放API文档</w:t>
      </w:r>
    </w:p>
    <w:p w14:paraId="6B3726D3">
      <w:pPr>
        <w:spacing w:before="0" w:after="0" w:line="324" w:lineRule="auto"/>
        <w:ind w:left="0" w:right="0"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平台提供开放API文档页，展示24个RESTful接口的路径、方法、鉴权级别与说明，供机构自有系统对接参考，体现平台“接口可复用”的开放能力。</w:t>
      </w:r>
    </w:p>
    <w:p w14:paraId="62DD1DE3">
      <w:pPr>
        <w:spacing w:before="80" w:after="160" w:line="324" w:lineRule="auto"/>
        <w:ind w:left="0" w:right="0" w:firstLine="0"/>
        <w:jc w:val="center"/>
      </w:pPr>
      <w:r>
        <w:drawing>
          <wp:inline distT="0" distB="0" distL="114300" distR="114300">
            <wp:extent cx="5483860" cy="3623310"/>
            <wp:effectExtent l="0" t="0" r="2540" b="889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62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FF3C6">
      <w:pPr>
        <w:spacing w:before="280" w:after="160"/>
        <w:ind w:left="0" w:right="0"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  <w:u w:val="none"/>
        </w:rPr>
        <w:t>四、角色权限对照</w:t>
      </w:r>
    </w:p>
    <w:p w14:paraId="24DC55CC">
      <w:pPr>
        <w:spacing w:before="0" w:after="0" w:line="324" w:lineRule="auto"/>
        <w:ind w:left="0" w:right="0"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下表汇总四类角色在各主要功能上的权限差异，。</w:t>
      </w:r>
    </w:p>
    <w:tbl>
      <w:tblPr>
        <w:tblStyle w:val="33"/>
        <w:tblW w:w="0" w:type="auto"/>
        <w:jc w:val="center"/>
        <w:tblBorders>
          <w:top w:val="single" w:color="000000" w:sz="10" w:space="0"/>
          <w:left w:val="none" w:color="auto" w:sz="0" w:space="0"/>
          <w:bottom w:val="single" w:color="000000" w:sz="1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1361"/>
        <w:gridCol w:w="1361"/>
        <w:gridCol w:w="1361"/>
        <w:gridCol w:w="1361"/>
      </w:tblGrid>
      <w:tr w14:paraId="64D52BE3">
        <w:tblPrEx>
          <w:tblBorders>
            <w:top w:val="single" w:color="000000" w:sz="10" w:space="0"/>
            <w:left w:val="none" w:color="auto" w:sz="0" w:space="0"/>
            <w:bottom w:val="single" w:color="000000" w:sz="1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18" w:type="dxa"/>
            <w:tcBorders>
              <w:bottom w:val="single" w:color="000000" w:sz="8" w:space="0"/>
            </w:tcBorders>
            <w:vAlign w:val="center"/>
          </w:tcPr>
          <w:p w14:paraId="4118BFAD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功能</w:t>
            </w:r>
          </w:p>
        </w:tc>
        <w:tc>
          <w:tcPr>
            <w:tcW w:w="1361" w:type="dxa"/>
            <w:tcBorders>
              <w:bottom w:val="single" w:color="000000" w:sz="8" w:space="0"/>
            </w:tcBorders>
            <w:vAlign w:val="center"/>
          </w:tcPr>
          <w:p w14:paraId="3084764F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平台管理员</w:t>
            </w:r>
          </w:p>
        </w:tc>
        <w:tc>
          <w:tcPr>
            <w:tcW w:w="1361" w:type="dxa"/>
            <w:tcBorders>
              <w:bottom w:val="single" w:color="000000" w:sz="8" w:space="0"/>
            </w:tcBorders>
            <w:vAlign w:val="center"/>
          </w:tcPr>
          <w:p w14:paraId="6423C7C8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机构管理员</w:t>
            </w:r>
          </w:p>
        </w:tc>
        <w:tc>
          <w:tcPr>
            <w:tcW w:w="1361" w:type="dxa"/>
            <w:tcBorders>
              <w:bottom w:val="single" w:color="000000" w:sz="8" w:space="0"/>
            </w:tcBorders>
            <w:vAlign w:val="center"/>
          </w:tcPr>
          <w:p w14:paraId="64362A9E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机构普通用户</w:t>
            </w:r>
          </w:p>
        </w:tc>
        <w:tc>
          <w:tcPr>
            <w:tcW w:w="1361" w:type="dxa"/>
            <w:tcBorders>
              <w:bottom w:val="single" w:color="000000" w:sz="8" w:space="0"/>
            </w:tcBorders>
            <w:vAlign w:val="center"/>
          </w:tcPr>
          <w:p w14:paraId="2FD7DE36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个人用户</w:t>
            </w:r>
          </w:p>
        </w:tc>
      </w:tr>
      <w:tr w14:paraId="715A5625">
        <w:tblPrEx>
          <w:tblBorders>
            <w:top w:val="single" w:color="000000" w:sz="10" w:space="0"/>
            <w:left w:val="none" w:color="auto" w:sz="0" w:space="0"/>
            <w:bottom w:val="single" w:color="000000" w:sz="1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3010172D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浏览/检索资源</w:t>
            </w:r>
          </w:p>
        </w:tc>
        <w:tc>
          <w:tcPr>
            <w:tcW w:w="1361" w:type="dxa"/>
            <w:vAlign w:val="center"/>
          </w:tcPr>
          <w:p w14:paraId="69AB053D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√</w:t>
            </w:r>
          </w:p>
        </w:tc>
        <w:tc>
          <w:tcPr>
            <w:tcW w:w="1361" w:type="dxa"/>
            <w:vAlign w:val="center"/>
          </w:tcPr>
          <w:p w14:paraId="0B3781F2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√</w:t>
            </w:r>
          </w:p>
        </w:tc>
        <w:tc>
          <w:tcPr>
            <w:tcW w:w="1361" w:type="dxa"/>
            <w:vAlign w:val="center"/>
          </w:tcPr>
          <w:p w14:paraId="2F435276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√</w:t>
            </w:r>
          </w:p>
        </w:tc>
        <w:tc>
          <w:tcPr>
            <w:tcW w:w="1361" w:type="dxa"/>
            <w:vAlign w:val="center"/>
          </w:tcPr>
          <w:p w14:paraId="18A9FC64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√</w:t>
            </w:r>
          </w:p>
        </w:tc>
      </w:tr>
      <w:tr w14:paraId="3E3C2C00">
        <w:tblPrEx>
          <w:tblBorders>
            <w:top w:val="single" w:color="000000" w:sz="10" w:space="0"/>
            <w:left w:val="none" w:color="auto" w:sz="0" w:space="0"/>
            <w:bottom w:val="single" w:color="000000" w:sz="1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23D8CB4B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下载公开资源</w:t>
            </w:r>
          </w:p>
        </w:tc>
        <w:tc>
          <w:tcPr>
            <w:tcW w:w="1361" w:type="dxa"/>
            <w:vAlign w:val="center"/>
          </w:tcPr>
          <w:p w14:paraId="488420B4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√</w:t>
            </w:r>
          </w:p>
        </w:tc>
        <w:tc>
          <w:tcPr>
            <w:tcW w:w="1361" w:type="dxa"/>
            <w:vAlign w:val="center"/>
          </w:tcPr>
          <w:p w14:paraId="43964B9F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√</w:t>
            </w:r>
          </w:p>
        </w:tc>
        <w:tc>
          <w:tcPr>
            <w:tcW w:w="1361" w:type="dxa"/>
            <w:vAlign w:val="center"/>
          </w:tcPr>
          <w:p w14:paraId="4B8D1E45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√</w:t>
            </w:r>
          </w:p>
        </w:tc>
        <w:tc>
          <w:tcPr>
            <w:tcW w:w="1361" w:type="dxa"/>
            <w:vAlign w:val="center"/>
          </w:tcPr>
          <w:p w14:paraId="78B40861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√</w:t>
            </w:r>
          </w:p>
        </w:tc>
      </w:tr>
      <w:tr w14:paraId="02AAAF3E">
        <w:tblPrEx>
          <w:tblBorders>
            <w:top w:val="single" w:color="000000" w:sz="10" w:space="0"/>
            <w:left w:val="none" w:color="auto" w:sz="0" w:space="0"/>
            <w:bottom w:val="single" w:color="000000" w:sz="1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09E71252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上传资源</w:t>
            </w:r>
          </w:p>
        </w:tc>
        <w:tc>
          <w:tcPr>
            <w:tcW w:w="1361" w:type="dxa"/>
            <w:vAlign w:val="center"/>
          </w:tcPr>
          <w:p w14:paraId="205AE625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√</w:t>
            </w:r>
          </w:p>
        </w:tc>
        <w:tc>
          <w:tcPr>
            <w:tcW w:w="1361" w:type="dxa"/>
            <w:vAlign w:val="center"/>
          </w:tcPr>
          <w:p w14:paraId="4E943CD3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√</w:t>
            </w:r>
          </w:p>
        </w:tc>
        <w:tc>
          <w:tcPr>
            <w:tcW w:w="1361" w:type="dxa"/>
            <w:vAlign w:val="center"/>
          </w:tcPr>
          <w:p w14:paraId="706F55B4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—</w:t>
            </w:r>
          </w:p>
        </w:tc>
        <w:tc>
          <w:tcPr>
            <w:tcW w:w="1361" w:type="dxa"/>
            <w:vAlign w:val="center"/>
          </w:tcPr>
          <w:p w14:paraId="3B1D015B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—</w:t>
            </w:r>
          </w:p>
        </w:tc>
      </w:tr>
      <w:tr w14:paraId="1A0A7F40">
        <w:tblPrEx>
          <w:tblBorders>
            <w:top w:val="single" w:color="000000" w:sz="10" w:space="0"/>
            <w:left w:val="none" w:color="auto" w:sz="0" w:space="0"/>
            <w:bottom w:val="single" w:color="000000" w:sz="1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1966705B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审核资源</w:t>
            </w:r>
          </w:p>
        </w:tc>
        <w:tc>
          <w:tcPr>
            <w:tcW w:w="1361" w:type="dxa"/>
            <w:vAlign w:val="center"/>
          </w:tcPr>
          <w:p w14:paraId="66A4EEBD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√</w:t>
            </w:r>
          </w:p>
        </w:tc>
        <w:tc>
          <w:tcPr>
            <w:tcW w:w="1361" w:type="dxa"/>
            <w:vAlign w:val="center"/>
          </w:tcPr>
          <w:p w14:paraId="5648B766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—</w:t>
            </w:r>
          </w:p>
        </w:tc>
        <w:tc>
          <w:tcPr>
            <w:tcW w:w="1361" w:type="dxa"/>
            <w:vAlign w:val="center"/>
          </w:tcPr>
          <w:p w14:paraId="217428D0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—</w:t>
            </w:r>
          </w:p>
        </w:tc>
        <w:tc>
          <w:tcPr>
            <w:tcW w:w="1361" w:type="dxa"/>
            <w:vAlign w:val="center"/>
          </w:tcPr>
          <w:p w14:paraId="026C0B89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—</w:t>
            </w:r>
          </w:p>
        </w:tc>
      </w:tr>
      <w:tr w14:paraId="7DF0287F">
        <w:tblPrEx>
          <w:tblBorders>
            <w:top w:val="single" w:color="000000" w:sz="10" w:space="0"/>
            <w:left w:val="none" w:color="auto" w:sz="0" w:space="0"/>
            <w:bottom w:val="single" w:color="000000" w:sz="1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63A99786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审核机构入驻</w:t>
            </w:r>
          </w:p>
        </w:tc>
        <w:tc>
          <w:tcPr>
            <w:tcW w:w="1361" w:type="dxa"/>
            <w:vAlign w:val="center"/>
          </w:tcPr>
          <w:p w14:paraId="71E59E94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√</w:t>
            </w:r>
          </w:p>
        </w:tc>
        <w:tc>
          <w:tcPr>
            <w:tcW w:w="1361" w:type="dxa"/>
            <w:vAlign w:val="center"/>
          </w:tcPr>
          <w:p w14:paraId="4EB42E24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—</w:t>
            </w:r>
          </w:p>
        </w:tc>
        <w:tc>
          <w:tcPr>
            <w:tcW w:w="1361" w:type="dxa"/>
            <w:vAlign w:val="center"/>
          </w:tcPr>
          <w:p w14:paraId="483179B4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—</w:t>
            </w:r>
          </w:p>
        </w:tc>
        <w:tc>
          <w:tcPr>
            <w:tcW w:w="1361" w:type="dxa"/>
            <w:vAlign w:val="center"/>
          </w:tcPr>
          <w:p w14:paraId="466C35DA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—</w:t>
            </w:r>
          </w:p>
        </w:tc>
      </w:tr>
      <w:tr w14:paraId="5E6C5109">
        <w:tblPrEx>
          <w:tblBorders>
            <w:top w:val="single" w:color="000000" w:sz="10" w:space="0"/>
            <w:left w:val="none" w:color="auto" w:sz="0" w:space="0"/>
            <w:bottom w:val="single" w:color="000000" w:sz="1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41B9161A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提交跨机构调取申请</w:t>
            </w:r>
          </w:p>
        </w:tc>
        <w:tc>
          <w:tcPr>
            <w:tcW w:w="1361" w:type="dxa"/>
            <w:vAlign w:val="center"/>
          </w:tcPr>
          <w:p w14:paraId="59AC73E9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—</w:t>
            </w:r>
          </w:p>
        </w:tc>
        <w:tc>
          <w:tcPr>
            <w:tcW w:w="1361" w:type="dxa"/>
            <w:vAlign w:val="center"/>
          </w:tcPr>
          <w:p w14:paraId="6A881952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√</w:t>
            </w:r>
          </w:p>
        </w:tc>
        <w:tc>
          <w:tcPr>
            <w:tcW w:w="1361" w:type="dxa"/>
            <w:vAlign w:val="center"/>
          </w:tcPr>
          <w:p w14:paraId="182C78BC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√</w:t>
            </w:r>
          </w:p>
        </w:tc>
        <w:tc>
          <w:tcPr>
            <w:tcW w:w="1361" w:type="dxa"/>
            <w:vAlign w:val="center"/>
          </w:tcPr>
          <w:p w14:paraId="059AF1ED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—</w:t>
            </w:r>
          </w:p>
        </w:tc>
      </w:tr>
      <w:tr w14:paraId="5E0D1583">
        <w:tblPrEx>
          <w:tblBorders>
            <w:top w:val="single" w:color="000000" w:sz="10" w:space="0"/>
            <w:left w:val="none" w:color="auto" w:sz="0" w:space="0"/>
            <w:bottom w:val="single" w:color="000000" w:sz="1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3E0AF94C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审批共享申请</w:t>
            </w:r>
          </w:p>
        </w:tc>
        <w:tc>
          <w:tcPr>
            <w:tcW w:w="1361" w:type="dxa"/>
            <w:vAlign w:val="center"/>
          </w:tcPr>
          <w:p w14:paraId="77E08037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√</w:t>
            </w:r>
          </w:p>
        </w:tc>
        <w:tc>
          <w:tcPr>
            <w:tcW w:w="1361" w:type="dxa"/>
            <w:vAlign w:val="center"/>
          </w:tcPr>
          <w:p w14:paraId="26356967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√</w:t>
            </w:r>
          </w:p>
        </w:tc>
        <w:tc>
          <w:tcPr>
            <w:tcW w:w="1361" w:type="dxa"/>
            <w:vAlign w:val="center"/>
          </w:tcPr>
          <w:p w14:paraId="4F9C59F1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—</w:t>
            </w:r>
          </w:p>
        </w:tc>
        <w:tc>
          <w:tcPr>
            <w:tcW w:w="1361" w:type="dxa"/>
            <w:vAlign w:val="center"/>
          </w:tcPr>
          <w:p w14:paraId="4EFC0E18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—</w:t>
            </w:r>
          </w:p>
        </w:tc>
      </w:tr>
      <w:tr w14:paraId="31556083">
        <w:tblPrEx>
          <w:tblBorders>
            <w:top w:val="single" w:color="000000" w:sz="10" w:space="0"/>
            <w:left w:val="none" w:color="auto" w:sz="0" w:space="0"/>
            <w:bottom w:val="single" w:color="000000" w:sz="1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0DDEF0CC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收藏/查看个人中心</w:t>
            </w:r>
          </w:p>
        </w:tc>
        <w:tc>
          <w:tcPr>
            <w:tcW w:w="1361" w:type="dxa"/>
            <w:vAlign w:val="center"/>
          </w:tcPr>
          <w:p w14:paraId="2EE05470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√</w:t>
            </w:r>
          </w:p>
        </w:tc>
        <w:tc>
          <w:tcPr>
            <w:tcW w:w="1361" w:type="dxa"/>
            <w:vAlign w:val="center"/>
          </w:tcPr>
          <w:p w14:paraId="1CB1DE7E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√</w:t>
            </w:r>
          </w:p>
        </w:tc>
        <w:tc>
          <w:tcPr>
            <w:tcW w:w="1361" w:type="dxa"/>
            <w:vAlign w:val="center"/>
          </w:tcPr>
          <w:p w14:paraId="63844125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√</w:t>
            </w:r>
          </w:p>
        </w:tc>
        <w:tc>
          <w:tcPr>
            <w:tcW w:w="1361" w:type="dxa"/>
            <w:vAlign w:val="center"/>
          </w:tcPr>
          <w:p w14:paraId="7F1330A9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√</w:t>
            </w:r>
          </w:p>
        </w:tc>
      </w:tr>
      <w:tr w14:paraId="25C61D45">
        <w:tblPrEx>
          <w:tblBorders>
            <w:top w:val="single" w:color="000000" w:sz="10" w:space="0"/>
            <w:left w:val="none" w:color="auto" w:sz="0" w:space="0"/>
            <w:bottom w:val="single" w:color="000000" w:sz="1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721F9ECD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查看数据统计</w:t>
            </w:r>
          </w:p>
        </w:tc>
        <w:tc>
          <w:tcPr>
            <w:tcW w:w="1361" w:type="dxa"/>
            <w:vAlign w:val="center"/>
          </w:tcPr>
          <w:p w14:paraId="63942A46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√</w:t>
            </w:r>
          </w:p>
        </w:tc>
        <w:tc>
          <w:tcPr>
            <w:tcW w:w="1361" w:type="dxa"/>
            <w:vAlign w:val="center"/>
          </w:tcPr>
          <w:p w14:paraId="19418247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√</w:t>
            </w:r>
          </w:p>
        </w:tc>
        <w:tc>
          <w:tcPr>
            <w:tcW w:w="1361" w:type="dxa"/>
            <w:vAlign w:val="center"/>
          </w:tcPr>
          <w:p w14:paraId="0BDB3DFD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—</w:t>
            </w:r>
          </w:p>
        </w:tc>
        <w:tc>
          <w:tcPr>
            <w:tcW w:w="1361" w:type="dxa"/>
            <w:vAlign w:val="center"/>
          </w:tcPr>
          <w:p w14:paraId="5CDC931B">
            <w:pPr>
              <w:spacing w:before="0" w:after="0" w:line="324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—</w:t>
            </w:r>
          </w:p>
        </w:tc>
      </w:tr>
    </w:tbl>
    <w:p w14:paraId="637457CF">
      <w:pPr>
        <w:spacing w:after="40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D51BA8FD-2136-47B2-82B4-71AFFB94AB8B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2" w:fontKey="{3ECE525D-50E5-4E8E-9A55-7192B98E9EA2}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宋体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3" w:fontKey="{F472C8F8-172F-4269-88E5-69EA66CE88BB}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4" w:fontKey="{A8C31F59-7A27-4804-A4F5-382DE3314695}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043B64"/>
    <w:rsid w:val="6D761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numbering" Target="numbering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2699</Words>
  <Characters>3000</Characters>
  <Lines>0</Lines>
  <Paragraphs>0</Paragraphs>
  <TotalTime>6</TotalTime>
  <ScaleCrop>false</ScaleCrop>
  <LinksUpToDate>false</LinksUpToDate>
  <CharactersWithSpaces>3019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钟海林</cp:lastModifiedBy>
  <dcterms:modified xsi:type="dcterms:W3CDTF">2026-09-01T14:41:18Z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eyJoZGlkIjoiMDFkYjIwYWM1ZTczYzk5NTcxZWNiYTVmMjVhZmE2ZWQiLCJ1c2VySWQiOiIxNjc0OTk0NDM5In0=</vt:lpwstr>
  </property>
  <property fmtid="{D5CDD505-2E9C-101B-9397-08002B2CF9AE}" pid="3" name="KSOProductBuildVer">
    <vt:lpwstr>2052-12.1.0.28043</vt:lpwstr>
  </property>
  <property fmtid="{D5CDD505-2E9C-101B-9397-08002B2CF9AE}" pid="4" name="ICV">
    <vt:lpwstr>BD512AD76CCA4EAC981A10A4FD488FE9_13</vt:lpwstr>
  </property>
</Properties>
</file>