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8D245E">
      <w:pPr>
        <w:spacing w:before="120" w:after="8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黑体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红脉通 · 红色数字资源开放共享平台</w:t>
      </w:r>
    </w:p>
    <w:p w14:paraId="3E6FDB57">
      <w:pPr>
        <w:spacing w:after="20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黑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课程设计项目说明</w:t>
      </w:r>
    </w:p>
    <w:p w14:paraId="664586C6">
      <w:pPr>
        <w:spacing w:after="12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选题：</w:t>
      </w:r>
      <w:r>
        <w:rPr>
          <w:rFonts w:ascii="Times New Roman" w:hAnsi="Times New Roman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信息管理与信息系统专业</w:t>
      </w:r>
      <w:r>
        <w:rPr>
          <w:rFonts w:hint="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——</w:t>
      </w:r>
      <w:r>
        <w:rPr>
          <w:rFonts w:ascii="Times New Roman" w:hAnsi="Times New Roman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第 10 题《红色数字资源开放共享平台的需求分析与原型设计》</w:t>
      </w:r>
    </w:p>
    <w:p w14:paraId="46016F85">
      <w:pPr>
        <w:spacing w:after="120" w:line="360" w:lineRule="auto"/>
        <w:rPr>
          <w:rFonts w:ascii="Times New Roman" w:hAnsi="Times New Roman" w:eastAsia="宋体" w:cstheme="minorBid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theme="minorBidi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针对党史馆、革命纪念馆、地方档案馆、高校马院、文旅单位之间的“数据孤岛”问题，设计并实现一个多机构红色数字资源协同共享平台。</w:t>
      </w:r>
    </w:p>
    <w:p w14:paraId="74B36E6F">
      <w:pPr>
        <w:pStyle w:val="2"/>
        <w:spacing w:before="260" w:after="1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黑体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一、项目背景与意义</w:t>
      </w:r>
    </w:p>
    <w:p w14:paraId="57EFC8CC">
      <w:pPr>
        <w:spacing w:after="12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红色文化数字资源长期分散在各机构，标准不一、互不连通，检索与调取困难。本课题通过需求分析、UML建模与原型设计，打破机构壁垒，实现红色数字资源的统一检索、开放共享与跨机构协同调取。</w:t>
      </w:r>
    </w:p>
    <w:p w14:paraId="2DE43D7C">
      <w:pPr>
        <w:pStyle w:val="2"/>
        <w:spacing w:before="260" w:after="1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黑体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二、核心功能</w:t>
      </w:r>
    </w:p>
    <w:p w14:paraId="0FC5C868">
      <w:pPr>
        <w:pStyle w:val="16"/>
        <w:numPr>
          <w:ilvl w:val="0"/>
          <w:numId w:val="1"/>
        </w:numPr>
        <w:spacing w:after="12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资源库：按机构、类型、等级多维筛选检索</w:t>
      </w:r>
    </w:p>
    <w:p w14:paraId="730BE4C2">
      <w:pPr>
        <w:pStyle w:val="16"/>
        <w:numPr>
          <w:ilvl w:val="0"/>
          <w:numId w:val="1"/>
        </w:numPr>
        <w:spacing w:after="12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跨机构调取：申请 → 审批 → 授权 → 操作留痕的完整闭环</w:t>
      </w:r>
    </w:p>
    <w:p w14:paraId="054B9FE6">
      <w:pPr>
        <w:pStyle w:val="16"/>
        <w:numPr>
          <w:ilvl w:val="0"/>
          <w:numId w:val="1"/>
        </w:numPr>
        <w:spacing w:after="12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机构入驻 / 资源上传：提交审核、待审核流转</w:t>
      </w:r>
    </w:p>
    <w:p w14:paraId="72D3C3C0">
      <w:pPr>
        <w:pStyle w:val="16"/>
        <w:numPr>
          <w:ilvl w:val="0"/>
          <w:numId w:val="1"/>
        </w:numPr>
        <w:spacing w:after="12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个人中心：收藏、消息通知</w:t>
      </w:r>
    </w:p>
    <w:p w14:paraId="38E72E45">
      <w:pPr>
        <w:pStyle w:val="16"/>
        <w:numPr>
          <w:ilvl w:val="0"/>
          <w:numId w:val="1"/>
        </w:numPr>
        <w:spacing w:after="12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数据仪表盘：机构分布、热门资源、统计可视化（ECharts）</w:t>
      </w:r>
    </w:p>
    <w:p w14:paraId="635AA22F">
      <w:pPr>
        <w:pStyle w:val="2"/>
        <w:spacing w:before="260" w:after="1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黑体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三、技术方案</w:t>
      </w:r>
    </w:p>
    <w:tbl>
      <w:tblPr>
        <w:tblStyle w:val="11"/>
        <w:tblW w:w="9026" w:type="dxa"/>
        <w:tblInd w:w="0" w:type="dxa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826"/>
      </w:tblGrid>
      <w:tr w14:paraId="306A5EF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458E37">
            <w:pPr>
              <w:jc w:val="center"/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r>
              <w:rPr>
                <w:rFonts w:ascii="Arial" w:hAnsi="Arial" w:eastAsia="黑体"/>
                <w:b w:val="0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层</w:t>
            </w:r>
          </w:p>
        </w:tc>
        <w:tc>
          <w:tcPr>
            <w:tcW w:w="22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DE72D2">
            <w:pPr>
              <w:jc w:val="center"/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黑体"/>
                <w:b w:val="0"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技术</w:t>
            </w:r>
          </w:p>
        </w:tc>
      </w:tr>
      <w:bookmarkEnd w:id="0"/>
      <w:tr w14:paraId="0C4F35E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F1F2E8">
            <w:pPr>
              <w:jc w:val="center"/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前端原型</w:t>
            </w:r>
          </w:p>
        </w:tc>
        <w:tc>
          <w:tcPr>
            <w:tcW w:w="682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01F96">
            <w:pPr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HTML/CSS/JS（响应式，可独立打开）</w:t>
            </w:r>
          </w:p>
        </w:tc>
      </w:tr>
      <w:tr w14:paraId="256B74B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2B3CF">
            <w:pPr>
              <w:jc w:val="center"/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后端</w:t>
            </w:r>
          </w:p>
        </w:tc>
        <w:tc>
          <w:tcPr>
            <w:tcW w:w="6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C0791">
            <w:pPr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Node.js +Express，RESTful API（/v1/*）</w:t>
            </w:r>
          </w:p>
        </w:tc>
      </w:tr>
      <w:tr w14:paraId="11F179A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14F92E">
            <w:pPr>
              <w:jc w:val="center"/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数据库</w:t>
            </w:r>
          </w:p>
        </w:tc>
        <w:tc>
          <w:tcPr>
            <w:tcW w:w="6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ACB38">
            <w:pPr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2"/>
                <w:szCs w:val="22"/>
                <w:highlight w:val="none"/>
                <w14:textFill>
                  <w14:solidFill>
                    <w14:schemeClr w14:val="tx1"/>
                  </w14:solidFill>
                </w14:textFill>
              </w:rPr>
              <w:t>MySQL（源码）/SQLite（桌面版内置，同构16表）</w:t>
            </w:r>
          </w:p>
        </w:tc>
      </w:tr>
      <w:tr w14:paraId="0625C3D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3EF9A0">
            <w:pPr>
              <w:jc w:val="center"/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设计建模</w:t>
            </w:r>
          </w:p>
        </w:tc>
        <w:tc>
          <w:tcPr>
            <w:tcW w:w="682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0CDA45">
            <w:pPr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UML 用例图、类图、时序图、ER 图、架构图等</w:t>
            </w:r>
          </w:p>
        </w:tc>
      </w:tr>
    </w:tbl>
    <w:p w14:paraId="31C2D6C1">
      <w:pPr>
        <w:spacing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2FEEFFE">
      <w:pPr>
        <w:pStyle w:val="2"/>
        <w:spacing w:before="260" w:after="1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黑体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四、成果与开源发布</w:t>
      </w:r>
    </w:p>
    <w:p w14:paraId="2A244EF1">
      <w:pPr>
        <w:pStyle w:val="16"/>
        <w:numPr>
          <w:ilvl w:val="0"/>
          <w:numId w:val="2"/>
        </w:numPr>
        <w:spacing w:after="12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前后端+数据库完整打通，非纯静态demo，可真实读写数据。</w:t>
      </w:r>
    </w:p>
    <w:p w14:paraId="65D5CC0F">
      <w:pPr>
        <w:pStyle w:val="16"/>
        <w:numPr>
          <w:ilvl w:val="0"/>
          <w:numId w:val="2"/>
        </w:numPr>
        <w:spacing w:after="12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多角色权限体系：平台管理员、机构管理员、机构普通用户、个人用户。</w:t>
      </w:r>
    </w:p>
    <w:p w14:paraId="6DD00882">
      <w:pPr>
        <w:pStyle w:val="16"/>
        <w:numPr>
          <w:ilvl w:val="0"/>
          <w:numId w:val="2"/>
        </w:numPr>
        <w:spacing w:after="12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已发布到GitHub仓库，源码完整开源、版本可追溯。</w:t>
      </w:r>
    </w:p>
    <w:p w14:paraId="056CCC74">
      <w:pPr>
        <w:pStyle w:val="16"/>
        <w:numPr>
          <w:ilvl w:val="0"/>
          <w:numId w:val="1"/>
        </w:numPr>
        <w:spacing w:after="12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代码仓库：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"https://github.com/Linhai011/redmaitong"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Times New Roman" w:hAnsi="Times New Roman" w:eastAsia="宋体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>github.com/Linhai011/redmaitong</w:t>
      </w:r>
      <w:r>
        <w:rPr>
          <w:rFonts w:ascii="Times New Roman" w:hAnsi="Times New Roman" w:eastAsia="宋体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fldChar w:fldCharType="end"/>
      </w:r>
    </w:p>
    <w:p w14:paraId="62271346">
      <w:pPr>
        <w:pStyle w:val="16"/>
        <w:numPr>
          <w:ilvl w:val="0"/>
          <w:numId w:val="1"/>
        </w:numPr>
        <w:spacing w:after="12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在线预览（静态演示版）：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"https://linhai011.github.io/redmaitong"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Times New Roman" w:hAnsi="Times New Roman" w:eastAsia="宋体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>linhai011.github.io/redmaitong</w:t>
      </w:r>
      <w:r>
        <w:rPr>
          <w:rFonts w:ascii="Times New Roman" w:hAnsi="Times New Roman" w:eastAsia="宋体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fldChar w:fldCharType="end"/>
      </w:r>
    </w:p>
    <w:p w14:paraId="1058B714">
      <w:pPr>
        <w:pStyle w:val="16"/>
        <w:numPr>
          <w:ilvl w:val="0"/>
          <w:numId w:val="2"/>
        </w:numPr>
        <w:spacing w:after="12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附带完整的部署说明与端到端验证清单。</w:t>
      </w:r>
      <w:r>
        <w:rPr>
          <w:rFonts w:ascii="Times New Roman" w:hAnsi="Times New Roman" w:eastAsia="宋体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另已封装为Windows桌面版（Electron + SQLite），双击即用、零环境依赖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D5DB6AB4-D7D6-4402-863E-01579F657212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DB137B11-3F21-42CD-B3D9-F5590630B162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04677EE"/>
    <w:rsid w:val="5B402B6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color w:val="262626"/>
      <w:sz w:val="24"/>
      <w:szCs w:val="24"/>
    </w:rPr>
  </w:style>
  <w:style w:type="paragraph" w:styleId="2">
    <w:name w:val="heading 1"/>
    <w:next w:val="1"/>
    <w:qFormat/>
    <w:uiPriority w:val="0"/>
    <w:rPr>
      <w:rFonts w:ascii="Times New Roman" w:hAnsi="Times New Roman" w:eastAsia="宋体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宋体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宋体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宋体" w:cstheme="minorBidi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宋体" w:cstheme="minorBidi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宋体" w:cstheme="minorBidi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宋体" w:cstheme="minorBidi"/>
      <w:color w:val="262626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宋体" w:cstheme="minorBidi"/>
      <w:color w:val="262626"/>
      <w:sz w:val="20"/>
      <w:szCs w:val="20"/>
    </w:rPr>
  </w:style>
  <w:style w:type="paragraph" w:styleId="10">
    <w:name w:val="Title"/>
    <w:qFormat/>
    <w:uiPriority w:val="0"/>
    <w:rPr>
      <w:rFonts w:ascii="Times New Roman" w:hAnsi="Times New Roman" w:eastAsia="宋体" w:cstheme="minorBidi"/>
      <w:color w:val="262626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Times New Roman" w:hAnsi="Times New Roman" w:eastAsia="宋体" w:cstheme="minorBidi"/>
      <w:color w:val="262626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561</Words>
  <Characters>703</Characters>
  <TotalTime>3</TotalTime>
  <ScaleCrop>false</ScaleCrop>
  <LinksUpToDate>false</LinksUpToDate>
  <CharactersWithSpaces>724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2026-08-21T15:14:00Z</dcterms:created>
  <dc:creator>Un-named</dc:creator>
  <cp:lastModifiedBy>钟海林</cp:lastModifiedBy>
  <dcterms:modified xsi:type="dcterms:W3CDTF">2026-09-01T14:41:26Z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eyJoZGlkIjoiMDFkYjIwYWM1ZTczYzk5NTcxZWNiYTVmMjVhZmE2ZWQiLCJ1c2VySWQiOiIxNjc0OTk0NDM5In0=</vt:lpwstr>
  </property>
  <property fmtid="{D5CDD505-2E9C-101B-9397-08002B2CF9AE}" pid="3" name="KSOProductBuildVer">
    <vt:lpwstr>2052-12.1.0.28043</vt:lpwstr>
  </property>
  <property fmtid="{D5CDD505-2E9C-101B-9397-08002B2CF9AE}" pid="4" name="ICV">
    <vt:lpwstr>4C4C985CC68E4A39B049385C196BACF0_12</vt:lpwstr>
  </property>
</Properties>
</file>