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海南省2023-2024学年高二年级学业水平诊断（二）</w:t>
      </w:r>
    </w:p>
    <w:p w14:paraId="71564D6B">
      <w:pPr>
        <w:jc w:val="center"/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</w:pPr>
      <w:r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  <w:t>数学</w:t>
      </w:r>
    </w:p>
    <w:p w14:paraId="50264ACD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C70A03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0171F4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1．已知集</w:t>
      </w:r>
      <m:oMath>
        <m:r>
          <m:rPr/>
          <w:rPr>
            <w:rFonts w:ascii="Cambria Math" w:hAnsi="Cambria Math" w:eastAsia="宋体" w:cs="Cambria Math"/>
          </w:rPr>
          <m:t>,</m:t>
        </m:r>
        <m:r>
          <m:rPr/>
          <w:rPr>
            <w:rFonts w:hint="eastAsia" w:ascii="DejaVu Math TeX Gyre" w:hAnsi="DejaVu Math TeX Gyre" w:cs="Cambria Math"/>
            <w:lang w:val="en-US" w:eastAsia="zh-CN"/>
          </w:rPr>
          <m:t>A</m:t>
        </m:r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d>
              <m:dPr>
                <m:begChr m:val="|"/>
                <m:endChr m:val=" "/>
              </m:dPr>
              <m:e>
                <m:sSup>
                  <m:sSupPr/>
                  <m:e>
                    <m:r>
                      <m:rPr>
                        <m:sty m:val="p"/>
                      </m:rPr>
                      <w:rPr>
                        <w:rFonts w:hint="default"/>
                        <w:lang w:val="en-US" w:eastAsia="zh-CN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+x−2</m:t>
                </m:r>
                <m:r>
                  <m:rPr/>
                  <w:rPr>
                    <w:rFonts w:ascii="DejaVu Math TeX Gyre" w:hAnsi="DejaVu Math TeX Gyre"/>
                    <w:sz w:val="21"/>
                  </w:rPr>
                  <m:t>≤</m:t>
                </m:r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e>
        </m:d>
        <m:r>
          <m:rPr>
            <m:sty m:val="p"/>
          </m:rPr>
          <w:rPr>
            <w:rFonts w:hint="eastAsia"/>
            <w:lang w:val="en-US" w:eastAsia="zh-CN"/>
          </w:rPr>
          <m:t>,</m:t>
        </m:r>
        <m:r>
          <m:rPr/>
          <w:rPr>
            <w:rFonts w:hint="eastAsia" w:ascii="DejaVu Math TeX Gyre"/>
            <w:sz w:val="21"/>
            <w:lang w:val="en-US" w:eastAsia="zh-CN"/>
          </w:rPr>
          <m:t>B</m:t>
        </m:r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r>
              <m:rPr/>
              <w:rPr>
                <w:rFonts w:hint="eastAsia" w:ascii="DejaVu Math TeX Gyre" w:hAnsi="DejaVu Math TeX Gyre" w:cs="Cambria Math"/>
                <w:lang w:val="en-US" w:eastAsia="zh-CN"/>
              </w:rPr>
              <m:t>|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ascii="DejaVu Math TeX Gyre" w:hAnsi="DejaVu Math TeX Gyre"/>
                <w:sz w:val="21"/>
              </w:rPr>
              <m:t>≤</m:t>
            </m:r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0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A∩B=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973EE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[</m:t>
        </m:r>
        <m:r>
          <m:rPr/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−2</m:t>
        </m:r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,</m:t>
        </m:r>
        <m:r>
          <m:rPr/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0</m:t>
        </m:r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]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[</m:t>
        </m:r>
        <m:r>
          <m:rPr>
            <m:sty m:val="p"/>
          </m:rPr>
          <w:rPr>
            <w:rFonts w:hint="default" w:ascii="DejaVu Math TeX Gyre"/>
            <w:sz w:val="21"/>
            <w:lang w:val="en-US" w:eastAsia="zh-CN"/>
          </w:rPr>
          <m:t>−2</m:t>
        </m:r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,</m:t>
        </m:r>
        <m:r>
          <m:rPr>
            <m:sty m:val="p"/>
          </m:rPr>
          <w:rPr>
            <w:rFonts w:hint="default" w:ascii="DejaVu Math TeX Gyre"/>
            <w:sz w:val="21"/>
            <w:lang w:val="en-US" w:eastAsia="zh-CN"/>
          </w:rPr>
          <m:t>−1</m:t>
        </m:r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]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0</m:t>
            </m:r>
          </m:e>
        </m:d>
      </m:oMath>
    </w:p>
    <w:p w14:paraId="6FE4E5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2．已知随机变量</w:t>
      </w:r>
      <m:oMath>
        <m:r>
          <m:rPr/>
          <w:rPr>
            <w:rFonts w:ascii="Cambria Math" w:hAnsi="Cambria Math" w:eastAsia="宋体" w:cs="Cambria Math"/>
          </w:rPr>
          <m:t>X∼N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σ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−1≤X≤3</m:t>
            </m:r>
          </m:e>
        </m:d>
        <m:r>
          <m:rPr/>
          <w:rPr>
            <w:rFonts w:ascii="Cambria Math" w:hAnsi="Cambria Math" w:eastAsia="宋体" w:cs="Cambria Math"/>
          </w:rPr>
          <m:t>=0.6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X≥−1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F4EEA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A．0.6</w:t>
      </w:r>
      <w:r>
        <w:rPr>
          <w:sz w:val="21"/>
        </w:rPr>
        <w:tab/>
      </w:r>
      <w:r>
        <w:rPr>
          <w:sz w:val="21"/>
        </w:rPr>
        <w:t>B．0.7</w:t>
      </w:r>
      <w:r>
        <w:rPr>
          <w:sz w:val="21"/>
        </w:rPr>
        <w:tab/>
      </w:r>
      <w:r>
        <w:rPr>
          <w:sz w:val="21"/>
        </w:rPr>
        <w:t>C．0.8</w:t>
      </w:r>
      <w:r>
        <w:rPr>
          <w:sz w:val="21"/>
        </w:rPr>
        <w:tab/>
      </w:r>
      <w:r>
        <w:rPr>
          <w:sz w:val="21"/>
        </w:rPr>
        <w:t>D．0.9</w:t>
      </w:r>
    </w:p>
    <w:p w14:paraId="69ED9C3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3．以下关于一元线性回归模型的说法中，错误的是（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B14BB3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A．相关系数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的绝对值越接近0，则两个变量的线性相关程度越弱</w:t>
      </w:r>
    </w:p>
    <w:p w14:paraId="2BA7FC3F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B．在残差图中，残差点分布的水平带状区域越窄，说明模型的拟合效果越好</w:t>
      </w:r>
    </w:p>
    <w:p w14:paraId="64F48FE4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C．点</w:t>
      </w:r>
      <m:oMath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</m:acc>
          </m:e>
        </m:d>
      </m:oMath>
      <w:r>
        <w:rPr>
          <w:sz w:val="21"/>
        </w:rPr>
        <w:t>一定在经验回归直线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x+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上</w:t>
      </w:r>
    </w:p>
    <w:p w14:paraId="6061C0FA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D．若经验回归方程为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=3x+10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每增加1个单位，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</m:oMath>
      <w:r>
        <w:rPr>
          <w:sz w:val="21"/>
        </w:rPr>
        <w:t>的值就增加10个单位</w:t>
      </w:r>
    </w:p>
    <w:p w14:paraId="3A07E8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4．在复平面内，复数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对应的点和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den>
        </m:f>
      </m:oMath>
      <w:r>
        <w:rPr>
          <w:sz w:val="21"/>
        </w:rPr>
        <w:t>对应的点关于虚轴对称，则</w:t>
      </w:r>
      <m:oMath>
        <m:r>
          <m:rPr/>
          <w:rPr>
            <w:rFonts w:ascii="Cambria Math" w:hAnsi="Cambria Math" w:eastAsia="宋体" w:cs="Cambria Math"/>
          </w:rPr>
          <m:t>z=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B0E8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1−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−1+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1+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−1−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</w:p>
    <w:p w14:paraId="6B263B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</w:t>
      </w:r>
      <m:oMath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</m:ra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6</m:t>
            </m:r>
          </m:sup>
        </m:sSup>
      </m:oMath>
      <w:r>
        <w:rPr>
          <w:sz w:val="21"/>
        </w:rPr>
        <w:t>的展开式中，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</m:oMath>
      <w:r>
        <w:rPr>
          <w:sz w:val="21"/>
        </w:rPr>
        <w:t>的系数为（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7897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</m:oMath>
    </w:p>
    <w:p w14:paraId="71E285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为等差数列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=24,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=21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  <w:bookmarkStart w:id="0" w:name="_GoBack"/>
      <w:bookmarkEnd w:id="0"/>
    </w:p>
    <w:p w14:paraId="2D519E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A．144</w:t>
      </w:r>
      <w:r>
        <w:rPr>
          <w:sz w:val="21"/>
        </w:rPr>
        <w:tab/>
      </w:r>
      <w:r>
        <w:rPr>
          <w:sz w:val="21"/>
        </w:rPr>
        <w:t>B．120</w:t>
      </w:r>
      <w:r>
        <w:rPr>
          <w:sz w:val="21"/>
        </w:rPr>
        <w:tab/>
      </w:r>
      <w:r>
        <w:rPr>
          <w:sz w:val="21"/>
        </w:rPr>
        <w:t>C．108</w:t>
      </w:r>
      <w:r>
        <w:rPr>
          <w:sz w:val="21"/>
        </w:rPr>
        <w:tab/>
      </w:r>
      <w:r>
        <w:rPr>
          <w:sz w:val="21"/>
        </w:rPr>
        <w:t>D．96</w:t>
      </w:r>
    </w:p>
    <w:p w14:paraId="03067F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时，不等式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x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≤λ</m:t>
        </m:r>
      </m:oMath>
      <w:r>
        <w:rPr>
          <w:sz w:val="21"/>
        </w:rPr>
        <w:t>恒成立，则</w:t>
      </w:r>
      <m:oMath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3B11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["/>
            <m:sepChr m:val=","/>
          </m:dPr>
          <m:e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</m:dPr>
          <m:e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</w:p>
    <w:p w14:paraId="76C633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,x&lt;0,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ln</m:t>
                </m:r>
                <m:r>
                  <m:rPr/>
                  <w:rPr>
                    <w:rFonts w:ascii="Cambria Math" w:hAnsi="Cambria Math" w:eastAsia="宋体" w:cs="Cambria Math"/>
                  </w:rPr>
                  <m:t>x,x&gt;0,</m:t>
                </m:r>
              </m:e>
            </m:eqArr>
          </m:e>
        </m:d>
      </m:oMath>
      <w:r>
        <w:rPr>
          <w:sz w:val="21"/>
        </w:rPr>
        <w:t>若关于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的方程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−m=0</m:t>
        </m:r>
      </m:oMath>
      <w:r>
        <w:rPr>
          <w:sz w:val="21"/>
        </w:rPr>
        <w:t>有两个不同的实根，则实数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85EB1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</w:p>
    <w:p w14:paraId="55A962AA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50354F3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3C0A3C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54D6B9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为等比数列，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=9</m:t>
        </m:r>
      </m:oMath>
      <w:r>
        <w:rPr>
          <w:sz w:val="21"/>
        </w:rPr>
        <w:t>，记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是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6EA86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的公比为9</w:t>
      </w:r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{"/>
            <m:sepChr m:val=","/>
            <m:endChr m:val="}"/>
          </m:dPr>
          <m:e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e>
        </m:d>
      </m:oMath>
      <w:r>
        <w:rPr>
          <w:sz w:val="21"/>
        </w:rPr>
        <w:t>是等比数列</w:t>
      </w:r>
    </w:p>
    <w:p w14:paraId="501B53D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log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为等差数列</w:t>
      </w:r>
      <w:r>
        <w:rPr>
          <w:sz w:val="21"/>
        </w:rPr>
        <w:tab/>
      </w:r>
      <w:r>
        <w:rPr>
          <w:sz w:val="21"/>
        </w:rPr>
        <w:t>D．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18</m:t>
            </m:r>
          </m:den>
        </m:f>
      </m:oMath>
    </w:p>
    <w:p w14:paraId="58E783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10．某种常见病分为甲､乙､丙三种类型，甲型病的患病率为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30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的患者出现症状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，乙型病的患病率为</w:t>
      </w:r>
      <m:oMath>
        <m:r>
          <m:rPr/>
          <w:rPr>
            <w:rFonts w:ascii="Cambria Math" w:hAnsi="Cambria Math" w:eastAsia="宋体" w:cs="Cambria Math"/>
          </w:rPr>
          <m:t>3.5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20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的患者出现症状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，丙型病的患病率为</w:t>
      </w:r>
      <m:oMath>
        <m:r>
          <m:rPr/>
          <w:rPr>
            <w:rFonts w:ascii="Cambria Math" w:hAnsi="Cambria Math" w:eastAsia="宋体" w:cs="Cambria Math"/>
          </w:rPr>
          <m:t>0.5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80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的患者出现症状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.若该病的患者只能得甲､乙､丙三种类型中的一种，且症状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是该病的特有症状，则下列说法正确的是（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9A4DFAF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A．该病的患病率为</w:t>
      </w:r>
      <m:oMath>
        <m:r>
          <m:rPr/>
          <w:rPr>
            <w:rFonts w:ascii="Cambria Math" w:hAnsi="Cambria Math" w:eastAsia="宋体" w:cs="Cambria Math"/>
          </w:rPr>
          <m:t>7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%</m:t>
        </m:r>
      </m:oMath>
    </w:p>
    <w:p w14:paraId="53C78E54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B．从该病的患者中任选1人，此人患乙型病的概率为0.35</w:t>
      </w:r>
    </w:p>
    <w:p w14:paraId="70296337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C．从人群中任选1人，此人出现症状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的概率为0.02</w:t>
      </w:r>
    </w:p>
    <w:p w14:paraId="797F331A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D．若某人出现症状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，则此人患丙型病的概率为0.2</w:t>
      </w:r>
    </w:p>
    <w:p w14:paraId="37E3B99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为双曲线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=1(a&gt;0,b&gt;0)</m:t>
        </m:r>
      </m:oMath>
      <w:r>
        <w:rPr>
          <w:sz w:val="21"/>
        </w:rPr>
        <w:t>的右焦点，过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与圆</w:t>
      </w:r>
      <m:oMath>
        <m:r>
          <m:rPr/>
          <w:rPr>
            <w:rFonts w:ascii="Cambria Math" w:hAnsi="Cambria Math" w:eastAsia="宋体" w:cs="Cambria Math"/>
          </w:rPr>
          <m:t>O: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相切于点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及其渐近线在第二象限的交点分别为</w:t>
      </w:r>
      <m:oMath>
        <m:r>
          <m:rPr/>
          <w:rPr>
            <w:rFonts w:ascii="Cambria Math" w:hAnsi="Cambria Math" w:eastAsia="宋体" w:cs="Cambria Math"/>
          </w:rPr>
          <m:t>P,Q</m:t>
        </m:r>
      </m:oMath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2CDEB88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的斜率为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</m:t>
            </m:r>
          </m:den>
        </m:f>
      </m:oMath>
    </w:p>
    <w:p w14:paraId="4CE16020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B．直线</w:t>
      </w:r>
      <m:oMath>
        <m:r>
          <m:rPr/>
          <w:rPr>
            <w:rFonts w:ascii="Cambria Math" w:hAnsi="Cambria Math" w:eastAsia="宋体" w:cs="Cambria Math"/>
          </w:rPr>
          <m:t>OM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的一条渐近线</w:t>
      </w:r>
    </w:p>
    <w:p w14:paraId="5D58258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52B959A9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的渐近线方程为</w:t>
      </w:r>
      <m:oMath>
        <m:r>
          <m:rPr/>
          <w:rPr>
            <w:rFonts w:ascii="Cambria Math" w:hAnsi="Cambria Math" w:eastAsia="宋体" w:cs="Cambria Math"/>
          </w:rPr>
          <m:t>y=±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</w:p>
    <w:p w14:paraId="7CFA1672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177C2074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6B26A44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</w:t>
      </w:r>
      <w:r>
        <w:rPr>
          <w:rFonts w:hint="eastAsia"/>
          <w:sz w:val="21"/>
          <w:lang w:val="en-US" w:eastAsia="zh-CN"/>
        </w:rPr>
        <w:t>已知向量</w:t>
      </w:r>
      <m:oMath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hint="default" w:ascii="DejaVu Math TeX Gyre" w:hAnsi="DejaVu Math TeX Gyre"/>
            <w:sz w:val="21"/>
            <w:lang w:val="en-US"/>
          </w:rPr>
          <m:t>=(1,2k),</m:t>
        </m:r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b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hint="default" w:ascii="DejaVu Math TeX Gyre" w:hAnsi="DejaVu Math TeX Gyre"/>
            <w:sz w:val="21"/>
            <w:lang w:val="en-US"/>
          </w:rPr>
          <m:t>=(−2,k)</m:t>
        </m:r>
      </m:oMath>
      <w:r>
        <w:rPr>
          <w:rFonts w:hint="eastAsia"/>
          <w:sz w:val="21"/>
          <w:lang w:val="en-US" w:eastAsia="zh-CN"/>
        </w:rPr>
        <w:t>,若</w:t>
      </w:r>
      <m:oMath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ascii="DejaVu Math TeX Gyre" w:hAnsi="DejaVu Math TeX Gyre"/>
            <w:sz w:val="21"/>
            <w:lang w:val="en-US"/>
          </w:rPr>
          <m:t>⊥</m:t>
        </m:r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b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</m:oMath>
      <w:r>
        <w:rPr>
          <w:rFonts w:hint="eastAsia"/>
          <w:sz w:val="21"/>
          <w:lang w:val="en-US" w:eastAsia="zh-CN"/>
        </w:rPr>
        <w:t>,且</w:t>
      </w:r>
      <m:oMath>
        <m:r>
          <m:rPr/>
          <w:rPr>
            <w:rFonts w:ascii="Cambria Math" w:hAnsi="Cambria Math" w:eastAsia="宋体" w:cs="Cambria Math"/>
          </w:rPr>
          <m:t>k</m:t>
        </m:r>
        <m:r>
          <m:rPr/>
          <w:rPr>
            <w:rFonts w:hint="default" w:ascii="DejaVu Math TeX Gyre" w:hAnsi="DejaVu Math TeX Gyre" w:cs="Cambria Math"/>
            <w:lang w:val="en-US"/>
          </w:rPr>
          <m:t>&lt;0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k=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53F97B7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13．已知直线</w:t>
      </w:r>
      <m:oMath>
        <m:r>
          <m:rPr/>
          <w:rPr>
            <w:rFonts w:ascii="Cambria Math" w:hAnsi="Cambria Math" w:eastAsia="宋体" w:cs="Cambria Math"/>
          </w:rPr>
          <m:t>y=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与抛物线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=2px(p&gt;0)</m:t>
        </m:r>
      </m:oMath>
      <w:r>
        <w:rPr>
          <w:sz w:val="21"/>
        </w:rPr>
        <w:t>在第一象限交于点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，若点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到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的准线的距离为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00E59F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14．已知直线</w:t>
      </w:r>
      <m:oMath>
        <m:r>
          <m:rPr/>
          <w:rPr>
            <w:rFonts w:ascii="Cambria Math" w:hAnsi="Cambria Math" w:eastAsia="宋体" w:cs="Cambria Math"/>
          </w:rPr>
          <m:t>y=kx</m:t>
        </m:r>
      </m:oMath>
      <w:r>
        <w:rPr>
          <w:sz w:val="21"/>
        </w:rPr>
        <w:t>与抛物线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p&gt;0</m:t>
            </m:r>
          </m:e>
        </m:d>
      </m:oMath>
      <w:r>
        <w:rPr>
          <w:sz w:val="21"/>
        </w:rPr>
        <w:t>在第一象限交于点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，过点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轴的垂线，垂足为抛物线的焦点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k=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；若该抛物线的准线上的点到点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与点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的距离之和的最小值为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.</w:t>
      </w:r>
    </w:p>
    <w:p w14:paraId="17B173F8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7EA897C0">
      <w:pPr>
        <w:jc w:val="both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46657233">
      <w:pPr>
        <w:jc w:val="both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5289AAC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1B89703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w:r>
        <w:rPr>
          <w:rFonts w:hint="default"/>
          <w:sz w:val="21"/>
          <w:lang w:val="en-US"/>
        </w:rPr>
        <w:t>(13</w:t>
      </w:r>
      <w:r>
        <w:rPr>
          <w:rFonts w:hint="eastAsia"/>
          <w:sz w:val="21"/>
          <w:lang w:val="en-US" w:eastAsia="zh-CN"/>
        </w:rPr>
        <w:t>分</w:t>
      </w:r>
      <w:r>
        <w:rPr>
          <w:rFonts w:hint="default"/>
          <w:sz w:val="21"/>
          <w:lang w:val="en-US"/>
        </w:rPr>
        <w:t>)</w:t>
      </w:r>
      <w:r>
        <w:rPr>
          <w:sz w:val="21"/>
        </w:rPr>
        <w:t>甲､乙两名同学进行乒乓球比赛，比赛采用七局四胜制（有一方先胜四局即获胜，比赛结束）.假设每局比赛甲获胜的概率都是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，且各局比赛的结果相互独立.</w:t>
      </w:r>
    </w:p>
    <w:p w14:paraId="14F16B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(1)求比赛结束时恰好打了4局的概率；</w:t>
      </w:r>
    </w:p>
    <w:p w14:paraId="440B8B0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(2)若已知前4局中甲已胜了3局，记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表示到结束比赛时还需要比赛的局数，求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的分布列及数学期望.</w:t>
      </w:r>
    </w:p>
    <w:p w14:paraId="6478F28C">
      <w:pPr>
        <w:shd w:val="clear" w:color="auto" w:fill="auto"/>
        <w:spacing w:line="360" w:lineRule="auto"/>
        <w:jc w:val="left"/>
        <w:rPr>
          <w:sz w:val="21"/>
        </w:rPr>
      </w:pPr>
    </w:p>
    <w:p w14:paraId="2FAFD2B5">
      <w:pPr>
        <w:shd w:val="clear" w:color="auto" w:fill="auto"/>
        <w:spacing w:line="360" w:lineRule="auto"/>
        <w:jc w:val="left"/>
        <w:rPr>
          <w:sz w:val="21"/>
        </w:rPr>
      </w:pPr>
    </w:p>
    <w:p w14:paraId="0732BF9C">
      <w:pPr>
        <w:shd w:val="clear" w:color="auto" w:fill="auto"/>
        <w:spacing w:line="360" w:lineRule="auto"/>
        <w:jc w:val="left"/>
        <w:rPr>
          <w:sz w:val="21"/>
        </w:rPr>
      </w:pPr>
    </w:p>
    <w:p w14:paraId="65383E7B">
      <w:pPr>
        <w:shd w:val="clear" w:color="auto" w:fill="auto"/>
        <w:spacing w:line="360" w:lineRule="auto"/>
        <w:jc w:val="left"/>
        <w:rPr>
          <w:sz w:val="21"/>
        </w:rPr>
      </w:pPr>
    </w:p>
    <w:p w14:paraId="5A1FB813">
      <w:pPr>
        <w:shd w:val="clear" w:color="auto" w:fill="auto"/>
        <w:spacing w:line="360" w:lineRule="auto"/>
        <w:jc w:val="left"/>
        <w:rPr>
          <w:sz w:val="21"/>
        </w:rPr>
      </w:pPr>
    </w:p>
    <w:p w14:paraId="1F3C5F6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</w:t>
      </w:r>
      <w:r>
        <w:rPr>
          <w:rFonts w:hint="eastAsia"/>
          <w:sz w:val="21"/>
          <w:lang w:val="en-US" w:eastAsia="zh-CN"/>
        </w:rPr>
        <w:t>(15分)</w:t>
      </w:r>
      <w:r>
        <w:rPr>
          <w:sz w:val="21"/>
        </w:rPr>
        <w:t>已知各项均不为零的数列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=1,3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.</w:t>
      </w:r>
    </w:p>
    <w:p w14:paraId="3949F2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</w:t>
      </w:r>
      <m:oMath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rPr>
          <w:sz w:val="21"/>
        </w:rPr>
        <w:t>是等差数列，并求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的通项公式；</w:t>
      </w:r>
    </w:p>
    <w:p w14:paraId="1D6A84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(2)记数列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，证明：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≤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 w14:paraId="7F94D7AA">
      <w:pPr>
        <w:shd w:val="clear" w:color="auto" w:fill="auto"/>
        <w:spacing w:line="360" w:lineRule="auto"/>
        <w:jc w:val="left"/>
        <w:rPr>
          <w:sz w:val="21"/>
        </w:rPr>
      </w:pPr>
    </w:p>
    <w:p w14:paraId="74ED7C05">
      <w:pPr>
        <w:shd w:val="clear" w:color="auto" w:fill="auto"/>
        <w:spacing w:line="360" w:lineRule="auto"/>
        <w:jc w:val="left"/>
        <w:rPr>
          <w:sz w:val="21"/>
        </w:rPr>
      </w:pPr>
    </w:p>
    <w:p w14:paraId="26FD8E45">
      <w:pPr>
        <w:shd w:val="clear" w:color="auto" w:fill="auto"/>
        <w:spacing w:line="360" w:lineRule="auto"/>
        <w:jc w:val="left"/>
        <w:rPr>
          <w:sz w:val="21"/>
        </w:rPr>
      </w:pPr>
    </w:p>
    <w:p w14:paraId="2D876053">
      <w:pPr>
        <w:shd w:val="clear" w:color="auto" w:fill="auto"/>
        <w:spacing w:line="360" w:lineRule="auto"/>
        <w:jc w:val="left"/>
        <w:rPr>
          <w:sz w:val="21"/>
        </w:rPr>
      </w:pPr>
    </w:p>
    <w:p w14:paraId="643F7E3E">
      <w:pPr>
        <w:shd w:val="clear" w:color="auto" w:fill="auto"/>
        <w:spacing w:line="360" w:lineRule="auto"/>
        <w:jc w:val="left"/>
        <w:rPr>
          <w:sz w:val="21"/>
        </w:rPr>
      </w:pPr>
    </w:p>
    <w:p w14:paraId="5BEE66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</w:t>
      </w:r>
      <w:r>
        <w:rPr>
          <w:rFonts w:hint="eastAsia"/>
          <w:sz w:val="21"/>
          <w:lang w:val="en-US" w:eastAsia="zh-CN"/>
        </w:rPr>
        <w:t>(15分)</w:t>
      </w:r>
      <w:r>
        <w:rPr>
          <w:sz w:val="21"/>
        </w:rPr>
        <w:t>如图，在四棱台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为菱形.</w:t>
      </w:r>
    </w:p>
    <w:p w14:paraId="1200525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04900"/>
            <wp:effectExtent l="0" t="0" r="15875" b="12065"/>
            <wp:docPr id="100003" name="图片 100003" descr="@@@c910514a-6eb1-4c14-922f-ea18cfaa3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910514a-6eb1-4c14-922f-ea18cfaa3c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C88CB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(1)证明：平面</w:t>
      </w:r>
      <m:oMath>
        <m:r>
          <m:rPr/>
          <w:rPr>
            <w:rFonts w:ascii="Cambria Math" w:hAnsi="Cambria Math" w:eastAsia="宋体" w:cs="Cambria Math"/>
          </w:rPr>
          <m:t>BD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；</w:t>
      </w:r>
    </w:p>
    <w:p w14:paraId="399A820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∠ABC=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60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  <m:r>
          <m:rPr/>
          <w:rPr>
            <w:rFonts w:ascii="Cambria Math" w:hAnsi="Cambria Math" w:eastAsia="宋体" w:cs="Cambria Math"/>
          </w:rPr>
          <m:t>,AB=3A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,M</m:t>
        </m:r>
      </m:oMath>
      <w:r>
        <w:rPr>
          <w:sz w:val="21"/>
        </w:rPr>
        <w:t>是棱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上靠近点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的三等分点，求平面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AM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夹角的余弦值.</w:t>
      </w:r>
    </w:p>
    <w:p w14:paraId="77F154A0">
      <w:pPr>
        <w:shd w:val="clear" w:color="auto" w:fill="auto"/>
        <w:spacing w:line="360" w:lineRule="auto"/>
        <w:jc w:val="left"/>
        <w:rPr>
          <w:sz w:val="21"/>
        </w:rPr>
      </w:pPr>
    </w:p>
    <w:p w14:paraId="72CC5B76">
      <w:pPr>
        <w:shd w:val="clear" w:color="auto" w:fill="auto"/>
        <w:spacing w:line="360" w:lineRule="auto"/>
        <w:jc w:val="left"/>
        <w:rPr>
          <w:sz w:val="21"/>
        </w:rPr>
      </w:pPr>
    </w:p>
    <w:p w14:paraId="4F4E47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</w:t>
      </w:r>
      <w:r>
        <w:rPr>
          <w:rFonts w:hint="eastAsia"/>
          <w:sz w:val="21"/>
          <w:lang w:val="en-US" w:eastAsia="zh-CN"/>
        </w:rPr>
        <w:t>(17分)</w:t>
      </w:r>
      <w:r>
        <w:rPr>
          <w:sz w:val="21"/>
        </w:rPr>
        <w:t>已知椭圆</w:t>
      </w:r>
      <m:oMath>
        <m:r>
          <m:rPr/>
          <w:rPr>
            <w:rFonts w:ascii="Cambria Math" w:hAnsi="Cambria Math" w:eastAsia="宋体" w:cs="Cambria Math"/>
          </w:rPr>
          <m:t>E: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=1(a&gt;b&gt;0)</m:t>
        </m:r>
      </m:oMath>
      <w:r>
        <w:rPr>
          <w:sz w:val="21"/>
        </w:rPr>
        <w:t>的长轴长与短轴长的差为2，且离心率为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,O</m:t>
        </m:r>
      </m:oMath>
      <w:r>
        <w:rPr>
          <w:sz w:val="21"/>
        </w:rPr>
        <w:t>为坐标原点.</w:t>
      </w:r>
    </w:p>
    <w:p w14:paraId="2B9142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的方程.</w:t>
      </w:r>
    </w:p>
    <w:p w14:paraId="4915391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(2)过点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0,2</m:t>
            </m:r>
          </m:e>
        </m:d>
      </m:oMath>
      <w:r>
        <w:rPr>
          <w:sz w:val="21"/>
        </w:rPr>
        <w:t>且不与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轴重合的动直线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相交于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rPr>
          <w:sz w:val="21"/>
        </w:rPr>
        <w:t>两点，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的中点为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.</w:t>
      </w:r>
    </w:p>
    <w:p w14:paraId="43DF13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①证明：直线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OQ</m:t>
        </m:r>
      </m:oMath>
      <w:r>
        <w:rPr>
          <w:sz w:val="21"/>
        </w:rPr>
        <w:t>的斜率之积为定值；</w:t>
      </w:r>
    </w:p>
    <w:p w14:paraId="3F5D9C3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>
        <m:r>
          <m:rPr/>
          <w:rPr>
            <w:rFonts w:ascii="Cambria Math" w:hAnsi="Cambria Math" w:eastAsia="宋体" w:cs="Cambria Math"/>
          </w:rPr>
          <m:t>△OAB</m:t>
        </m:r>
      </m:oMath>
      <w:r>
        <w:rPr>
          <w:sz w:val="21"/>
        </w:rPr>
        <w:t>的面积最大时，求直线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的方程.</w:t>
      </w:r>
    </w:p>
    <w:p w14:paraId="4A779EB5">
      <w:pPr>
        <w:shd w:val="clear" w:color="auto" w:fill="auto"/>
        <w:spacing w:line="360" w:lineRule="auto"/>
        <w:jc w:val="left"/>
        <w:rPr>
          <w:sz w:val="21"/>
        </w:rPr>
      </w:pPr>
    </w:p>
    <w:p w14:paraId="075DAB28">
      <w:pPr>
        <w:shd w:val="clear" w:color="auto" w:fill="auto"/>
        <w:spacing w:line="360" w:lineRule="auto"/>
        <w:jc w:val="left"/>
        <w:rPr>
          <w:sz w:val="21"/>
        </w:rPr>
      </w:pPr>
    </w:p>
    <w:p w14:paraId="6A4E6E21">
      <w:pPr>
        <w:shd w:val="clear" w:color="auto" w:fill="auto"/>
        <w:spacing w:line="360" w:lineRule="auto"/>
        <w:jc w:val="left"/>
        <w:rPr>
          <w:sz w:val="21"/>
        </w:rPr>
      </w:pPr>
    </w:p>
    <w:p w14:paraId="6DB9C3D7">
      <w:pPr>
        <w:shd w:val="clear" w:color="auto" w:fill="auto"/>
        <w:spacing w:line="360" w:lineRule="auto"/>
        <w:jc w:val="left"/>
        <w:rPr>
          <w:sz w:val="21"/>
        </w:rPr>
      </w:pPr>
    </w:p>
    <w:p w14:paraId="1D5078A1">
      <w:pPr>
        <w:shd w:val="clear" w:color="auto" w:fill="auto"/>
        <w:spacing w:line="360" w:lineRule="auto"/>
        <w:jc w:val="left"/>
        <w:rPr>
          <w:sz w:val="21"/>
        </w:rPr>
      </w:pPr>
    </w:p>
    <w:p w14:paraId="572B10BD">
      <w:pPr>
        <w:shd w:val="clear" w:color="auto" w:fill="auto"/>
        <w:spacing w:line="360" w:lineRule="auto"/>
        <w:jc w:val="left"/>
        <w:rPr>
          <w:sz w:val="21"/>
        </w:rPr>
      </w:pPr>
    </w:p>
    <w:p w14:paraId="6B131EA7">
      <w:pPr>
        <w:shd w:val="clear" w:color="auto" w:fill="auto"/>
        <w:spacing w:line="360" w:lineRule="auto"/>
        <w:jc w:val="left"/>
        <w:rPr>
          <w:sz w:val="21"/>
        </w:rPr>
      </w:pPr>
    </w:p>
    <w:p w14:paraId="3DB3CDFF">
      <w:pPr>
        <w:shd w:val="clear" w:color="auto" w:fill="auto"/>
        <w:spacing w:line="360" w:lineRule="auto"/>
        <w:jc w:val="left"/>
        <w:rPr>
          <w:sz w:val="21"/>
        </w:rPr>
      </w:pPr>
    </w:p>
    <w:p w14:paraId="59F90D47">
      <w:pPr>
        <w:shd w:val="clear" w:color="auto" w:fill="auto"/>
        <w:spacing w:line="360" w:lineRule="auto"/>
        <w:jc w:val="left"/>
        <w:rPr>
          <w:sz w:val="21"/>
        </w:rPr>
      </w:pPr>
    </w:p>
    <w:p w14:paraId="0F460B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</w:t>
      </w:r>
      <w:r>
        <w:rPr>
          <w:rFonts w:hint="eastAsia"/>
          <w:sz w:val="21"/>
          <w:lang w:val="en-US" w:eastAsia="zh-CN"/>
        </w:rPr>
        <w:t>(17分)</w:t>
      </w: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,a∈R</m:t>
        </m:r>
      </m:oMath>
      <w:r>
        <w:rPr>
          <w:sz w:val="21"/>
        </w:rPr>
        <w:t>.</w:t>
      </w:r>
    </w:p>
    <w:p w14:paraId="629B3F0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(1)求曲线</w:t>
      </w:r>
      <m:oMath>
        <m:r>
          <m:rPr/>
          <w:rPr>
            <w:rFonts w:ascii="Cambria Math" w:hAnsi="Cambria Math" w:eastAsia="宋体" w:cs="Cambria Math"/>
          </w:rPr>
          <m:t>y=f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e>
        </m:d>
      </m:oMath>
      <w:r>
        <w:rPr>
          <w:sz w:val="21"/>
        </w:rPr>
        <w:t>处的切线方程.</w:t>
      </w:r>
    </w:p>
    <w:p w14:paraId="4EA356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存在两个极值点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.</w:t>
      </w:r>
    </w:p>
    <w:p w14:paraId="22DA75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的取值范围；</w:t>
      </w:r>
    </w:p>
    <w:p w14:paraId="099AD7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②证明：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&gt;4a</m:t>
        </m:r>
      </m:oMath>
      <w:r>
        <w:rPr>
          <w:sz w:val="21"/>
        </w:rPr>
        <w:t>.</w:t>
      </w:r>
    </w:p>
    <w:p w14:paraId="0BA7E0F7"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r:id="rId3" w:type="default"/>
      <w:footerReference r:id="rId4" w:type="even"/>
      <w:pgSz w:w="23814" w:h="16840" w:orient="landscape"/>
      <w:pgMar w:top="1134" w:right="1000" w:bottom="1134" w:left="998" w:header="851" w:footer="6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8E2FA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D6FBA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6B322F"/>
    <w:rsid w:val="00776133"/>
    <w:rsid w:val="00811C76"/>
    <w:rsid w:val="008C07DE"/>
    <w:rsid w:val="00A30CCE"/>
    <w:rsid w:val="00AC3E9C"/>
    <w:rsid w:val="00BC2225"/>
    <w:rsid w:val="00BC4F14"/>
    <w:rsid w:val="00BF535F"/>
    <w:rsid w:val="00C806B0"/>
    <w:rsid w:val="00CE4DB5"/>
    <w:rsid w:val="00D304EF"/>
    <w:rsid w:val="00E476EE"/>
    <w:rsid w:val="00EF035E"/>
    <w:rsid w:val="00F16B29"/>
    <w:rsid w:val="7FF21133"/>
    <w:rsid w:val="FCF5F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2026-01-16T17:41:53Z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87fbaf8f37404e869357ddaa82e92b05mzk1mjm1nzywmq</vt:lpwstr>
  </property>
  <property fmtid="{D5CDD505-2E9C-101B-9397-08002B2CF9AE}" pid="4" name="KSOProductBuildVer">
    <vt:lpwstr>2052-12.1.24031.24031</vt:lpwstr>
  </property>
  <property fmtid="{D5CDD505-2E9C-101B-9397-08002B2CF9AE}" pid="5" name="ICV">
    <vt:lpwstr>8BA793CEA76CE12BB6076A69021A5E52_42</vt:lpwstr>
  </property>
</Properties>
</file>