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FUTURE READY™ · AMBASSADOR CHRISTIAN SCHOOL</w:t>
      </w:r>
    </w:p>
    <w:p>
      <w:pPr>
        <w:pStyle w:val="Title"/>
        <w:jc w:val="center"/>
      </w:pPr>
      <w:r>
        <w:t>WEEK 5 · ASSESSMENT &amp; RUBRIC</w:t>
      </w:r>
    </w:p>
    <w:p>
      <w:pPr>
        <w:jc w:val="center"/>
      </w:pPr>
      <w:r>
        <w:rPr>
          <w:i/>
        </w:rPr>
        <w:t>FROM POSSIBILITY TO OPPORTUNITY</w:t>
      </w:r>
    </w:p>
    <w:p>
      <w:pPr>
        <w:jc w:val="center"/>
      </w:pPr>
      <w:r>
        <w:rPr>
          <w:b/>
        </w:rPr>
        <w:t>WEEK 5</w:t>
      </w:r>
    </w:p>
    <w:p/>
    <w:p>
      <w:r>
        <w:t>Use this performance rubric to assess the Week 5 learning evidence without turning exploration into a high-stakes grade.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D3"/>
          </w:tcPr>
          <w:p>
            <w:r>
              <w:t>Criterion</w:t>
            </w:r>
          </w:p>
        </w:tc>
        <w:tc>
          <w:tcPr>
            <w:tcW w:type="dxa" w:w="2045"/>
            <w:shd w:fill="D9EAD3"/>
          </w:tcPr>
          <w:p>
            <w:r>
              <w:t>4 · Strong Evidence</w:t>
            </w:r>
          </w:p>
        </w:tc>
        <w:tc>
          <w:tcPr>
            <w:tcW w:type="dxa" w:w="2045"/>
            <w:shd w:fill="D9EAD3"/>
          </w:tcPr>
          <w:p>
            <w:r>
              <w:t>3 · Ready</w:t>
            </w:r>
          </w:p>
        </w:tc>
        <w:tc>
          <w:tcPr>
            <w:tcW w:type="dxa" w:w="2045"/>
            <w:shd w:fill="D9EAD3"/>
          </w:tcPr>
          <w:p>
            <w:r>
              <w:t>2 · Developing</w:t>
            </w:r>
          </w:p>
        </w:tc>
        <w:tc>
          <w:tcPr>
            <w:tcW w:type="dxa" w:w="2045"/>
            <w:shd w:fill="D9EAD3"/>
          </w:tcPr>
          <w:p>
            <w:r>
              <w:t>1 · Not Yet</w:t>
            </w:r>
          </w:p>
        </w:tc>
      </w:tr>
      <w:tr>
        <w:tc>
          <w:tcPr>
            <w:tcW w:type="dxa" w:w="2045"/>
            <w:vAlign w:val="center"/>
          </w:tcPr>
          <w:p>
            <w:r>
              <w:t>Career/Pathway Exploration</w:t>
            </w:r>
          </w:p>
        </w:tc>
        <w:tc>
          <w:tcPr>
            <w:tcW w:type="dxa" w:w="2045"/>
            <w:vAlign w:val="center"/>
          </w:tcPr>
          <w:p>
            <w:r>
              <w:t>Identifies multiple plausible pathways and explains why they are worth exploring.</w:t>
            </w:r>
          </w:p>
        </w:tc>
        <w:tc>
          <w:tcPr>
            <w:tcW w:type="dxa" w:w="2045"/>
            <w:vAlign w:val="center"/>
          </w:tcPr>
          <w:p>
            <w:r>
              <w:t>Identifies at least one pathway with a basic reason.</w:t>
            </w:r>
          </w:p>
        </w:tc>
        <w:tc>
          <w:tcPr>
            <w:tcW w:type="dxa" w:w="2045"/>
            <w:vAlign w:val="center"/>
          </w:tcPr>
          <w:p>
            <w:r>
              <w:t>Pathway is vague or unsupported.</w:t>
            </w:r>
          </w:p>
        </w:tc>
        <w:tc>
          <w:tcPr>
            <w:tcW w:type="dxa" w:w="2045"/>
            <w:vAlign w:val="center"/>
          </w:tcPr>
          <w:p>
            <w:r>
              <w:t>No meaningful exploration evidence.</w:t>
            </w:r>
          </w:p>
        </w:tc>
      </w:tr>
      <w:tr>
        <w:tc>
          <w:tcPr>
            <w:tcW w:type="dxa" w:w="2045"/>
            <w:vAlign w:val="center"/>
          </w:tcPr>
          <w:p>
            <w:r>
              <w:t>Initiative / Next Move</w:t>
            </w:r>
          </w:p>
        </w:tc>
        <w:tc>
          <w:tcPr>
            <w:tcW w:type="dxa" w:w="2045"/>
            <w:vAlign w:val="center"/>
          </w:tcPr>
          <w:p>
            <w:r>
              <w:t>Defines a specific, realistic action with a person/place/time horizon.</w:t>
            </w:r>
          </w:p>
        </w:tc>
        <w:tc>
          <w:tcPr>
            <w:tcW w:type="dxa" w:w="2045"/>
            <w:vAlign w:val="center"/>
          </w:tcPr>
          <w:p>
            <w:r>
              <w:t>Defines a usable next step.</w:t>
            </w:r>
          </w:p>
        </w:tc>
        <w:tc>
          <w:tcPr>
            <w:tcW w:type="dxa" w:w="2045"/>
            <w:vAlign w:val="center"/>
          </w:tcPr>
          <w:p>
            <w:r>
              <w:t>Next step is vague or passive.</w:t>
            </w:r>
          </w:p>
        </w:tc>
        <w:tc>
          <w:tcPr>
            <w:tcW w:type="dxa" w:w="2045"/>
            <w:vAlign w:val="center"/>
          </w:tcPr>
          <w:p>
            <w:r>
              <w:t>No next step.</w:t>
            </w:r>
          </w:p>
        </w:tc>
      </w:tr>
      <w:tr>
        <w:tc>
          <w:tcPr>
            <w:tcW w:type="dxa" w:w="2045"/>
            <w:vAlign w:val="center"/>
          </w:tcPr>
          <w:p>
            <w:r>
              <w:t>Professional Communication</w:t>
            </w:r>
          </w:p>
        </w:tc>
        <w:tc>
          <w:tcPr>
            <w:tcW w:type="dxa" w:w="2045"/>
            <w:vAlign w:val="center"/>
          </w:tcPr>
          <w:p>
            <w:r>
              <w:t>Opportunity ask is concise, authentic, specific, and respectful.</w:t>
            </w:r>
          </w:p>
        </w:tc>
        <w:tc>
          <w:tcPr>
            <w:tcW w:type="dxa" w:w="2045"/>
            <w:vAlign w:val="center"/>
          </w:tcPr>
          <w:p>
            <w:r>
              <w:t>Ask is understandable and professional.</w:t>
            </w:r>
          </w:p>
        </w:tc>
        <w:tc>
          <w:tcPr>
            <w:tcW w:type="dxa" w:w="2045"/>
            <w:vAlign w:val="center"/>
          </w:tcPr>
          <w:p>
            <w:r>
              <w:t>Ask needs clarity or specificity.</w:t>
            </w:r>
          </w:p>
        </w:tc>
        <w:tc>
          <w:tcPr>
            <w:tcW w:type="dxa" w:w="2045"/>
            <w:vAlign w:val="center"/>
          </w:tcPr>
          <w:p>
            <w:r>
              <w:t>Unable to formulate an appropriate ask.</w:t>
            </w:r>
          </w:p>
        </w:tc>
      </w:tr>
      <w:tr>
        <w:tc>
          <w:tcPr>
            <w:tcW w:type="dxa" w:w="2045"/>
            <w:vAlign w:val="center"/>
          </w:tcPr>
          <w:p>
            <w:r>
              <w:t>Relationship Building</w:t>
            </w:r>
          </w:p>
        </w:tc>
        <w:tc>
          <w:tcPr>
            <w:tcW w:type="dxa" w:w="2045"/>
            <w:vAlign w:val="center"/>
          </w:tcPr>
          <w:p>
            <w:r>
              <w:t>Clearly treats networking as learning, curiosity, and reciprocal professional relationship-building.</w:t>
            </w:r>
          </w:p>
        </w:tc>
        <w:tc>
          <w:tcPr>
            <w:tcW w:type="dxa" w:w="2045"/>
            <w:vAlign w:val="center"/>
          </w:tcPr>
          <w:p>
            <w:r>
              <w:t>Understands the purpose of an informational conversation.</w:t>
            </w:r>
          </w:p>
        </w:tc>
        <w:tc>
          <w:tcPr>
            <w:tcW w:type="dxa" w:w="2045"/>
            <w:vAlign w:val="center"/>
          </w:tcPr>
          <w:p>
            <w:r>
              <w:t>Focus remains mostly on asking for a job/favor.</w:t>
            </w:r>
          </w:p>
        </w:tc>
        <w:tc>
          <w:tcPr>
            <w:tcW w:type="dxa" w:w="2045"/>
            <w:vAlign w:val="center"/>
          </w:tcPr>
          <w:p>
            <w:r>
              <w:t>No evidence of relationship awareness.</w:t>
            </w:r>
          </w:p>
        </w:tc>
      </w:tr>
      <w:tr>
        <w:tc>
          <w:tcPr>
            <w:tcW w:type="dxa" w:w="2045"/>
            <w:vAlign w:val="center"/>
          </w:tcPr>
          <w:p>
            <w:r>
              <w:t>Reflection + Evidence</w:t>
            </w:r>
          </w:p>
        </w:tc>
        <w:tc>
          <w:tcPr>
            <w:tcW w:type="dxa" w:w="2045"/>
            <w:vAlign w:val="center"/>
          </w:tcPr>
          <w:p>
            <w:r>
              <w:t>Captures insight and clearly connects it to future action and Beyond the Game.</w:t>
            </w:r>
          </w:p>
        </w:tc>
        <w:tc>
          <w:tcPr>
            <w:tcW w:type="dxa" w:w="2045"/>
            <w:vAlign w:val="center"/>
          </w:tcPr>
          <w:p>
            <w:r>
              <w:t>Captures learning and one application.</w:t>
            </w:r>
          </w:p>
        </w:tc>
        <w:tc>
          <w:tcPr>
            <w:tcW w:type="dxa" w:w="2045"/>
            <w:vAlign w:val="center"/>
          </w:tcPr>
          <w:p>
            <w:r>
              <w:t>Reflection is general.</w:t>
            </w:r>
          </w:p>
        </w:tc>
        <w:tc>
          <w:tcPr>
            <w:tcW w:type="dxa" w:w="2045"/>
            <w:vAlign w:val="center"/>
          </w:tcPr>
          <w:p>
            <w:r>
              <w:t>No usable evidence captured.</w:t>
            </w:r>
          </w:p>
        </w:tc>
      </w:tr>
    </w:tbl>
    <w:p>
      <w:pPr>
        <w:pStyle w:val="Heading1"/>
      </w:pPr>
      <w:r>
        <w:t>Recommended Evidence</w:t>
      </w:r>
    </w:p>
    <w:p>
      <w:pPr>
        <w:pStyle w:val="ListBullet"/>
      </w:pPr>
      <w:r>
        <w:t>Completed Opportunity Map</w:t>
      </w:r>
    </w:p>
    <w:p>
      <w:pPr>
        <w:pStyle w:val="ListBullet"/>
      </w:pPr>
      <w:r>
        <w:t>30-second opportunity ask</w:t>
      </w:r>
    </w:p>
    <w:p>
      <w:pPr>
        <w:pStyle w:val="ListBullet"/>
      </w:pPr>
      <w:r>
        <w:t>Former-athlete PRE / DURING / POST evidence</w:t>
      </w:r>
    </w:p>
    <w:p>
      <w:pPr>
        <w:pStyle w:val="ListBullet"/>
      </w:pPr>
      <w:r>
        <w:t>Week 5 reflection</w:t>
      </w:r>
    </w:p>
    <w:p>
      <w:pPr>
        <w:pStyle w:val="ListBullet"/>
      </w:pPr>
      <w:r>
        <w:t>Portfolio Artifact / Beyond the Game connection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© 2026 BUILD6™. All Rights Reserved. Proprietary brand, platform, curriculum, research, data, methodologies, designs &amp; program materials.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