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1B3D"/>
          <w:sz w:val="48"/>
        </w:rPr>
        <w:t>FUTURE READY™</w:t>
      </w:r>
    </w:p>
    <w:p>
      <w:pPr>
        <w:jc w:val="center"/>
      </w:pPr>
      <w:r>
        <w:rPr>
          <w:b/>
          <w:color w:val="0D1B3D"/>
          <w:sz w:val="36"/>
        </w:rPr>
        <w:t>Assessment &amp; Rubric</w:t>
      </w:r>
    </w:p>
    <w:p>
      <w:pPr>
        <w:jc w:val="center"/>
      </w:pPr>
      <w:r>
        <w:rPr>
          <w:b/>
          <w:color w:val="F2B705"/>
        </w:rPr>
        <w:t>Week 2 | Discovering My Strengths</w:t>
      </w:r>
    </w:p>
    <w:p>
      <w:pPr>
        <w:pStyle w:val="Heading1"/>
      </w:pPr>
      <w:r>
        <w:t>Assessment Title</w:t>
      </w:r>
    </w:p>
    <w:p>
      <w:r>
        <w:t>Week 2 Readiness Demonstration</w:t>
      </w:r>
    </w:p>
    <w:p>
      <w:pPr>
        <w:pStyle w:val="Heading1"/>
      </w:pPr>
      <w:r>
        <w:t>Evidence Reviewed</w:t>
      </w:r>
    </w:p>
    <w:p>
      <w:pPr>
        <w:pStyle w:val="ListBullet"/>
      </w:pPr>
      <w:r>
        <w:t>Strengths in Action Profile and Strength Evidence Tracker</w:t>
      </w:r>
    </w:p>
    <w:p>
      <w:pPr>
        <w:pStyle w:val="ListBullet"/>
      </w:pPr>
      <w:r>
        <w:t>Participation in active practice</w:t>
      </w:r>
    </w:p>
    <w:p>
      <w:pPr>
        <w:pStyle w:val="ListBullet"/>
      </w:pPr>
      <w:r>
        <w:t>Role play and feedback application</w:t>
      </w:r>
    </w:p>
    <w:p>
      <w:pPr>
        <w:pStyle w:val="ListBullet"/>
      </w:pPr>
      <w:r>
        <w:t>Workplace technology or systems practice</w:t>
      </w:r>
    </w:p>
    <w:p>
      <w:pPr>
        <w:pStyle w:val="ListBullet"/>
      </w:pPr>
      <w:r>
        <w:t>Weekly reflection and Mission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Criterion</w:t>
            </w:r>
          </w:p>
        </w:tc>
        <w:tc>
          <w:tcPr>
            <w:tcW w:type="dxa" w:w="2556"/>
          </w:tcPr>
          <w:p>
            <w:r>
              <w:t>Beginning</w:t>
            </w:r>
          </w:p>
        </w:tc>
        <w:tc>
          <w:tcPr>
            <w:tcW w:type="dxa" w:w="2556"/>
          </w:tcPr>
          <w:p>
            <w:r>
              <w:t>Developing</w:t>
            </w:r>
          </w:p>
        </w:tc>
        <w:tc>
          <w:tcPr>
            <w:tcW w:type="dxa" w:w="2556"/>
          </w:tcPr>
          <w:p>
            <w:r>
              <w:t>Future Ready™</w:t>
            </w:r>
          </w:p>
        </w:tc>
      </w:tr>
      <w:tr>
        <w:tc>
          <w:tcPr>
            <w:tcW w:type="dxa" w:w="2556"/>
          </w:tcPr>
          <w:p>
            <w:r>
              <w:t>Engagement</w:t>
            </w:r>
          </w:p>
        </w:tc>
        <w:tc>
          <w:tcPr>
            <w:tcW w:type="dxa" w:w="2556"/>
          </w:tcPr>
          <w:p>
            <w:r>
              <w:t>Avoids or disrupts practice.</w:t>
            </w:r>
          </w:p>
        </w:tc>
        <w:tc>
          <w:tcPr>
            <w:tcW w:type="dxa" w:w="2556"/>
          </w:tcPr>
          <w:p>
            <w:r>
              <w:t>Participates with prompting.</w:t>
            </w:r>
          </w:p>
        </w:tc>
        <w:tc>
          <w:tcPr>
            <w:tcW w:type="dxa" w:w="2556"/>
          </w:tcPr>
          <w:p>
            <w:r>
              <w:t>Engages, contributes, and supports peers.</w:t>
            </w:r>
          </w:p>
        </w:tc>
      </w:tr>
      <w:tr>
        <w:tc>
          <w:tcPr>
            <w:tcW w:type="dxa" w:w="2556"/>
          </w:tcPr>
          <w:p>
            <w:r>
              <w:t>Skill Application</w:t>
            </w:r>
          </w:p>
        </w:tc>
        <w:tc>
          <w:tcPr>
            <w:tcW w:type="dxa" w:w="2556"/>
          </w:tcPr>
          <w:p>
            <w:r>
              <w:t>Cannot yet apply the framework.</w:t>
            </w:r>
          </w:p>
        </w:tc>
        <w:tc>
          <w:tcPr>
            <w:tcW w:type="dxa" w:w="2556"/>
          </w:tcPr>
          <w:p>
            <w:r>
              <w:t>Applies with guidance.</w:t>
            </w:r>
          </w:p>
        </w:tc>
        <w:tc>
          <w:tcPr>
            <w:tcW w:type="dxa" w:w="2556"/>
          </w:tcPr>
          <w:p>
            <w:r>
              <w:t>Applies independently and adapts.</w:t>
            </w:r>
          </w:p>
        </w:tc>
      </w:tr>
      <w:tr>
        <w:tc>
          <w:tcPr>
            <w:tcW w:type="dxa" w:w="2556"/>
          </w:tcPr>
          <w:p>
            <w:r>
              <w:t>Professionalism</w:t>
            </w:r>
          </w:p>
        </w:tc>
        <w:tc>
          <w:tcPr>
            <w:tcW w:type="dxa" w:w="2556"/>
          </w:tcPr>
          <w:p>
            <w:r>
              <w:t>Preparation or follow-through is inconsistent.</w:t>
            </w:r>
          </w:p>
        </w:tc>
        <w:tc>
          <w:tcPr>
            <w:tcW w:type="dxa" w:w="2556"/>
          </w:tcPr>
          <w:p>
            <w:r>
              <w:t>Usually prepared and responsive.</w:t>
            </w:r>
          </w:p>
        </w:tc>
        <w:tc>
          <w:tcPr>
            <w:tcW w:type="dxa" w:w="2556"/>
          </w:tcPr>
          <w:p>
            <w:r>
              <w:t>Reliable, accountable, respectful, and prepared.</w:t>
            </w:r>
          </w:p>
        </w:tc>
      </w:tr>
      <w:tr>
        <w:tc>
          <w:tcPr>
            <w:tcW w:type="dxa" w:w="2556"/>
          </w:tcPr>
          <w:p>
            <w:r>
              <w:t>Evidence</w:t>
            </w:r>
          </w:p>
        </w:tc>
        <w:tc>
          <w:tcPr>
            <w:tcW w:type="dxa" w:w="2556"/>
          </w:tcPr>
          <w:p>
            <w:r>
              <w:t>Vague or incomplete.</w:t>
            </w:r>
          </w:p>
        </w:tc>
        <w:tc>
          <w:tcPr>
            <w:tcW w:type="dxa" w:w="2556"/>
          </w:tcPr>
          <w:p>
            <w:r>
              <w:t>Complete with some specifics.</w:t>
            </w:r>
          </w:p>
        </w:tc>
        <w:tc>
          <w:tcPr>
            <w:tcW w:type="dxa" w:w="2556"/>
          </w:tcPr>
          <w:p>
            <w:r>
              <w:t>Specific, polished, and clearly connected to future use.</w:t>
            </w:r>
          </w:p>
        </w:tc>
      </w:tr>
      <w:tr>
        <w:tc>
          <w:tcPr>
            <w:tcW w:type="dxa" w:w="2556"/>
          </w:tcPr>
          <w:p>
            <w:r>
              <w:t>Reflection</w:t>
            </w:r>
          </w:p>
        </w:tc>
        <w:tc>
          <w:tcPr>
            <w:tcW w:type="dxa" w:w="2556"/>
          </w:tcPr>
          <w:p>
            <w:r>
              <w:t>Describes the activity.</w:t>
            </w:r>
          </w:p>
        </w:tc>
        <w:tc>
          <w:tcPr>
            <w:tcW w:type="dxa" w:w="2556"/>
          </w:tcPr>
          <w:p>
            <w:r>
              <w:t>Explains learning.</w:t>
            </w:r>
          </w:p>
        </w:tc>
        <w:tc>
          <w:tcPr>
            <w:tcW w:type="dxa" w:w="2556"/>
          </w:tcPr>
          <w:p>
            <w:r>
              <w:t>Uses evidence to connect growth to internship readiness.</w:t>
            </w:r>
          </w:p>
        </w:tc>
      </w:tr>
    </w:tbl>
    <w:p>
      <w:pPr>
        <w:pStyle w:val="Heading1"/>
      </w:pPr>
      <w:r>
        <w:t>Facilitator Feedback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4"/>
      </w:rPr>
      <w:t>Future Ready™ © 2026 Jaime Lane. Licensed to Ambassador Christian School for authorized pilot use only.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D1B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D1B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D1B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