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1B3D"/>
          <w:sz w:val="50"/>
        </w:rPr>
        <w:t>FUTURE READY™</w:t>
      </w:r>
    </w:p>
    <w:p>
      <w:pPr>
        <w:jc w:val="center"/>
      </w:pPr>
      <w:r>
        <w:rPr>
          <w:b/>
          <w:color w:val="0D1B3D"/>
          <w:sz w:val="42"/>
        </w:rPr>
        <w:t>Week 3 Facilitator Guide</w:t>
      </w:r>
    </w:p>
    <w:p>
      <w:pPr>
        <w:jc w:val="center"/>
      </w:pPr>
      <w:r>
        <w:rPr>
          <w:i/>
          <w:color w:val="6B7280"/>
          <w:sz w:val="22"/>
        </w:rPr>
        <w:t>My Story Has Value</w:t>
      </w:r>
    </w:p>
    <w:p>
      <w:pPr>
        <w:jc w:val="center"/>
      </w:pPr>
      <w:r>
        <w:rPr>
          <w:b/>
          <w:color w:val="F2B705"/>
        </w:rPr>
        <w:t>Discover Purpose. Build Skills. Launch Your Future.</w:t>
      </w:r>
    </w:p>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Essential Question: </w:t>
            </w:r>
            <w:r>
              <w:t>How can I communicate my story with confidence and purpose?</w:t>
            </w:r>
          </w:p>
        </w:tc>
      </w:tr>
    </w:tbl>
    <w:p>
      <w:pPr>
        <w:pStyle w:val="Heading1"/>
      </w:pPr>
      <w:r>
        <w:t>Week at a Glance</w:t>
      </w:r>
    </w:p>
    <w:tbl>
      <w:tblPr>
        <w:tblStyle w:val="TableGrid"/>
        <w:tblW w:type="auto" w:w="0"/>
        <w:jc w:val="center"/>
        <w:tblLook w:firstColumn="1" w:firstRow="1" w:lastColumn="0" w:lastRow="0" w:noHBand="0" w:noVBand="1" w:val="04A0"/>
      </w:tblPr>
      <w:tblGrid>
        <w:gridCol w:w="5112"/>
        <w:gridCol w:w="5112"/>
      </w:tblGrid>
      <w:tr>
        <w:tc>
          <w:tcPr>
            <w:tcW w:type="dxa" w:w="5112"/>
            <w:shd w:fill="0D1B3D"/>
          </w:tcPr>
          <w:p>
            <w:r>
              <w:t>Element</w:t>
            </w:r>
          </w:p>
        </w:tc>
        <w:tc>
          <w:tcPr>
            <w:tcW w:type="dxa" w:w="5112"/>
            <w:shd w:fill="0D1B3D"/>
          </w:tcPr>
          <w:p>
            <w:r>
              <w:t>Details</w:t>
            </w:r>
          </w:p>
        </w:tc>
      </w:tr>
      <w:tr>
        <w:tc>
          <w:tcPr>
            <w:tcW w:type="dxa" w:w="5112"/>
          </w:tcPr>
          <w:p>
            <w:r>
              <w:t>Portfolio Evidence</w:t>
            </w:r>
          </w:p>
        </w:tc>
        <w:tc>
          <w:tcPr>
            <w:tcW w:type="dxa" w:w="5112"/>
          </w:tcPr>
          <w:p>
            <w:r>
              <w:t>Future Ready™ Introduction Script, Professional Story, and Practice Video</w:t>
            </w:r>
          </w:p>
        </w:tc>
      </w:tr>
      <w:tr>
        <w:tc>
          <w:tcPr>
            <w:tcW w:type="dxa" w:w="5112"/>
          </w:tcPr>
          <w:p>
            <w:r>
              <w:t>Badge</w:t>
            </w:r>
          </w:p>
        </w:tc>
        <w:tc>
          <w:tcPr>
            <w:tcW w:type="dxa" w:w="5112"/>
          </w:tcPr>
          <w:p>
            <w:r>
              <w:t>Authentic Communicator</w:t>
            </w:r>
          </w:p>
        </w:tc>
      </w:tr>
      <w:tr>
        <w:tc>
          <w:tcPr>
            <w:tcW w:type="dxa" w:w="5112"/>
          </w:tcPr>
          <w:p>
            <w:r>
              <w:t>Suggested Speaker</w:t>
            </w:r>
          </w:p>
        </w:tc>
        <w:tc>
          <w:tcPr>
            <w:tcW w:type="dxa" w:w="5112"/>
          </w:tcPr>
          <w:p>
            <w:r>
              <w:t>Professional whose path included a career pivot, recovery from failure, military or athletic transition, first-generation experience, or unexpected opportunity.</w:t>
            </w:r>
          </w:p>
        </w:tc>
      </w:tr>
      <w:tr>
        <w:tc>
          <w:tcPr>
            <w:tcW w:type="dxa" w:w="5112"/>
          </w:tcPr>
          <w:p>
            <w:r>
              <w:t>Industry Connection</w:t>
            </w:r>
          </w:p>
        </w:tc>
        <w:tc>
          <w:tcPr>
            <w:tcW w:type="dxa" w:w="5112"/>
          </w:tcPr>
          <w:p>
            <w:r>
              <w:t>How professionals introduce themselves, request meetings, prepare for tours, and follow up across industries.</w:t>
            </w:r>
          </w:p>
        </w:tc>
      </w:tr>
    </w:tbl>
    <w:p>
      <w:pPr>
        <w:pStyle w:val="Heading1"/>
      </w:pPr>
      <w:r>
        <w:t>Before the Week Begins</w:t>
      </w:r>
    </w:p>
    <w:p>
      <w:pPr>
        <w:pStyle w:val="ListBullet"/>
      </w:pPr>
      <w:r>
        <w:t>Review all five sessions and speaker/tour timing.</w:t>
      </w:r>
    </w:p>
    <w:p>
      <w:pPr>
        <w:pStyle w:val="ListBullet"/>
      </w:pPr>
      <w:r>
        <w:t>Prepare student workbooks, slide deck, activity cards, timer, markers, chart paper, and devices.</w:t>
      </w:r>
    </w:p>
    <w:p>
      <w:pPr>
        <w:pStyle w:val="ListBullet"/>
      </w:pPr>
      <w:r>
        <w:t>Confirm school-approved Google Workspace, AI, LinkedIn/professional profile, and HubSpot/classroom CRM access.</w:t>
      </w:r>
    </w:p>
    <w:p>
      <w:pPr>
        <w:pStyle w:val="ListBullet"/>
      </w:pPr>
      <w:r>
        <w:t>Use only fictional or explicitly approved data in workplace technology labs.</w:t>
      </w:r>
    </w:p>
    <w:p>
      <w:pPr>
        <w:pStyle w:val="ListBullet"/>
      </w:pPr>
      <w:r>
        <w:t>Arrange the room for movement, triads, and team work.</w:t>
      </w:r>
    </w:p>
    <w:p>
      <w:pPr>
        <w:pStyle w:val="ListBullet"/>
      </w:pPr>
      <w:r>
        <w:t>Post the essential question and internship connection.</w:t>
      </w:r>
    </w:p>
    <w:p>
      <w:pPr>
        <w:pStyle w:val="Heading1"/>
      </w:pPr>
      <w:r>
        <w:t>Facilitator Opening Script</w:t>
      </w:r>
    </w:p>
    <w:p>
      <w:r>
        <w:t>Welcome to Week 3: My Story Has Value. This week is active, practical, and connected to your Semester 2 internship. You will practice, build, receive feedback, and create evidence for your Future Ready™ portfolio. The goal is not perfection. The goal is growth, professionalism, and the confidence to use what you learn in a real workplace.</w:t>
      </w:r>
    </w:p>
    <w:p>
      <w:pPr>
        <w:pStyle w:val="Heading1"/>
      </w:pPr>
      <w:r>
        <w:t>Signature Experiences</w:t>
      </w:r>
    </w:p>
    <w:p>
      <w:pPr>
        <w:pStyle w:val="Heading2"/>
      </w:pPr>
      <w:r>
        <w:t>Role Play</w:t>
      </w:r>
    </w:p>
    <w:p>
      <w:r>
        <w:t>Professional introductions for a healthcare tour, manufacturing tour, guest speaker, networking event, and internship interview.</w:t>
      </w:r>
    </w:p>
    <w:p>
      <w:pPr>
        <w:pStyle w:val="Heading2"/>
      </w:pPr>
      <w:r>
        <w:t>Improv</w:t>
      </w:r>
    </w:p>
    <w:p>
      <w:r>
        <w:t>Tell It Three Ways: professional, conversational, and 30-second versions.</w:t>
      </w:r>
    </w:p>
    <w:p>
      <w:pPr>
        <w:pStyle w:val="Heading2"/>
      </w:pPr>
      <w:r>
        <w:t>Case Scenario</w:t>
      </w:r>
    </w:p>
    <w:p>
      <w:r>
        <w:t>Two candidates have similar grades, but only one can explain what they learned from an experience. Teams assess which candidate builds more trust and why.</w:t>
      </w:r>
    </w:p>
    <w:p>
      <w:pPr>
        <w:pStyle w:val="Heading2"/>
      </w:pPr>
      <w:r>
        <w:t>AI Activity</w:t>
      </w:r>
    </w:p>
    <w:p>
      <w:r>
        <w:t>Use AI as a clarity coach, not a ghostwriter. Flag invented, exaggerated, or generic language.</w:t>
      </w:r>
    </w:p>
    <w:p>
      <w:pPr>
        <w:pStyle w:val="Heading2"/>
      </w:pPr>
      <w:r>
        <w:t>LinkedIn / Professional Presence</w:t>
      </w:r>
    </w:p>
    <w:p>
      <w:r>
        <w:t>Draft an authentic About section and add education, athletics, service, projects, and leadership experience.</w:t>
      </w:r>
    </w:p>
    <w:p>
      <w:pPr>
        <w:pStyle w:val="Heading2"/>
      </w:pPr>
      <w:r>
        <w:t>CRM / Workplace Systems</w:t>
      </w:r>
    </w:p>
    <w:p>
      <w:r>
        <w:t>Log a speaker or mentor interaction, create a follow-up task, and document a thank-you message.</w:t>
      </w:r>
    </w:p>
    <w:p>
      <w:pPr>
        <w:pStyle w:val="Heading2"/>
      </w:pPr>
      <w:r>
        <w:t>Mission Card</w:t>
      </w:r>
    </w:p>
    <w:p>
      <w:r>
        <w:t>Use your professional introduction with one adult and ask what was clear and what they want to know more about.</w:t>
      </w:r>
    </w:p>
    <w:p>
      <w:r>
        <w:br w:type="page"/>
      </w:r>
    </w:p>
    <w:p>
      <w:pPr>
        <w:pStyle w:val="Heading1"/>
      </w:pPr>
      <w:r>
        <w:t>Day 1: Your Story Is Evidence</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Identify experiences that demonstrate character and transferable skills.</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Label Week 1 timeline moments with skills and analyze the two-candidate case.</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your story is evidence.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Label Week 1 timeline moments with skills and analyze the two-candidate case.</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Day 2: Build a Professional Story</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Structure one meaningful experience into a concise narrative.</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Challenge, Choice, Action, Growth, Future Value writing and peer revision.</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build a professional story.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Challenge, Choice, Action, Growth, Future Value writing and peer revision.</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Day 3: Introduce Yourself With Confidence</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Adapt a professional introduction to different audiences.</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Role-play stations, observer rubric, and repeated delivery practice.</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introduce yourself with confidence.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Role-play stations, observer rubric, and repeated delivery practice.</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Day 4: Professional Follow-Through</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Use email and calendar systems to support relationships.</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Write a meeting request, create a calendar invitation, agenda, reminders, and rescheduling response.</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professional follow-through.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Write a meeting request, create a calendar invitation, agenda, reminders, and rescheduling response.</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Day 5: Speaker or Coach Connection</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Practice professional presence with a guest.</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Research, prepare questions, greet, take notes, thank, log the interaction, and record the final introduction video.</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speaker or coach connection.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Research, prepare questions, greet, take notes, thank, log the interaction, and record the final introduction video.</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Speaker Connection Guide</w:t>
      </w:r>
    </w:p>
    <w:p>
      <w:r>
        <w:t>Professional whose path included a career pivot, recovery from failure, military or athletic transition, first-generation experience, or unexpected opportunity.</w:t>
      </w:r>
    </w:p>
    <w:p>
      <w:pPr>
        <w:pStyle w:val="ListBullet"/>
      </w:pPr>
      <w:r>
        <w:t>Share one honest turning point.</w:t>
      </w:r>
    </w:p>
    <w:p>
      <w:pPr>
        <w:pStyle w:val="ListBullet"/>
      </w:pPr>
      <w:r>
        <w:t>Explain a skill used daily that was developed through practice.</w:t>
      </w:r>
    </w:p>
    <w:p>
      <w:pPr>
        <w:pStyle w:val="ListBullet"/>
      </w:pPr>
      <w:r>
        <w:t>Describe a mistake and professional recovery.</w:t>
      </w:r>
    </w:p>
    <w:p>
      <w:pPr>
        <w:pStyle w:val="ListBullet"/>
      </w:pPr>
      <w:r>
        <w:t>Connect the lesson to internship expectations.</w:t>
      </w:r>
    </w:p>
    <w:p>
      <w:pPr>
        <w:pStyle w:val="ListBullet"/>
      </w:pPr>
      <w:r>
        <w:t>Leave students with one action they can take this week.</w:t>
      </w:r>
    </w:p>
    <w:p>
      <w:pPr>
        <w:pStyle w:val="Heading1"/>
      </w:pPr>
      <w:r>
        <w:t>Tour and Employer Connection</w:t>
      </w:r>
    </w:p>
    <w:p>
      <w:r>
        <w:t>How professionals introduce themselves, request meetings, prepare for tours, and follow up across industries.</w:t>
      </w:r>
    </w:p>
    <w:p>
      <w:pPr>
        <w:pStyle w:val="ListBullet"/>
      </w:pPr>
      <w:r>
        <w:t>Research the organization before the visit.</w:t>
      </w:r>
    </w:p>
    <w:p>
      <w:pPr>
        <w:pStyle w:val="ListBullet"/>
      </w:pPr>
      <w:r>
        <w:t>Prepare three questions connected to this week.</w:t>
      </w:r>
    </w:p>
    <w:p>
      <w:pPr>
        <w:pStyle w:val="ListBullet"/>
      </w:pPr>
      <w:r>
        <w:t>Practice introductions and professional dress expectations.</w:t>
      </w:r>
    </w:p>
    <w:p>
      <w:pPr>
        <w:pStyle w:val="ListBullet"/>
      </w:pPr>
      <w:r>
        <w:t>Log the interaction and follow-up task.</w:t>
      </w:r>
    </w:p>
    <w:p>
      <w:pPr>
        <w:pStyle w:val="ListBullet"/>
      </w:pPr>
      <w:r>
        <w:t>Send a personalized thank-you message.</w:t>
      </w:r>
    </w:p>
    <w:p>
      <w:pPr>
        <w:pStyle w:val="ListBullet"/>
      </w:pPr>
      <w:r>
        <w:t>Save the reflection in the Employer Tours portfolio folder.</w:t>
      </w:r>
    </w:p>
    <w:p>
      <w:pPr>
        <w:pStyle w:val="Heading1"/>
      </w:pPr>
      <w:r>
        <w:t>Week Assessment Rubric</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D1B3D"/>
          </w:tcPr>
          <w:p>
            <w:r>
              <w:t>Criteria</w:t>
            </w:r>
          </w:p>
        </w:tc>
        <w:tc>
          <w:tcPr>
            <w:tcW w:type="dxa" w:w="2556"/>
            <w:shd w:fill="0D1B3D"/>
          </w:tcPr>
          <w:p>
            <w:r>
              <w:t>Beginning</w:t>
            </w:r>
          </w:p>
        </w:tc>
        <w:tc>
          <w:tcPr>
            <w:tcW w:type="dxa" w:w="2556"/>
            <w:shd w:fill="0D1B3D"/>
          </w:tcPr>
          <w:p>
            <w:r>
              <w:t>Developing</w:t>
            </w:r>
          </w:p>
        </w:tc>
        <w:tc>
          <w:tcPr>
            <w:tcW w:type="dxa" w:w="2556"/>
            <w:shd w:fill="0D1B3D"/>
          </w:tcPr>
          <w:p>
            <w:r>
              <w:t>Future Ready™</w:t>
            </w:r>
          </w:p>
        </w:tc>
      </w:tr>
      <w:tr>
        <w:tc>
          <w:tcPr>
            <w:tcW w:type="dxa" w:w="2556"/>
          </w:tcPr>
          <w:p>
            <w:r>
              <w:t>Participation</w:t>
            </w:r>
          </w:p>
        </w:tc>
        <w:tc>
          <w:tcPr>
            <w:tcW w:type="dxa" w:w="2556"/>
          </w:tcPr>
          <w:p>
            <w:r>
              <w:t>Needs repeated prompting.</w:t>
            </w:r>
          </w:p>
        </w:tc>
        <w:tc>
          <w:tcPr>
            <w:tcW w:type="dxa" w:w="2556"/>
          </w:tcPr>
          <w:p>
            <w:r>
              <w:t>Participates with support.</w:t>
            </w:r>
          </w:p>
        </w:tc>
        <w:tc>
          <w:tcPr>
            <w:tcW w:type="dxa" w:w="2556"/>
          </w:tcPr>
          <w:p>
            <w:r>
              <w:t>Engages, contributes, and supports others.</w:t>
            </w:r>
          </w:p>
        </w:tc>
      </w:tr>
      <w:tr>
        <w:tc>
          <w:tcPr>
            <w:tcW w:type="dxa" w:w="2556"/>
          </w:tcPr>
          <w:p>
            <w:r>
              <w:t>Skill Application</w:t>
            </w:r>
          </w:p>
        </w:tc>
        <w:tc>
          <w:tcPr>
            <w:tcW w:type="dxa" w:w="2556"/>
          </w:tcPr>
          <w:p>
            <w:r>
              <w:t>Names the skill but does not apply it.</w:t>
            </w:r>
          </w:p>
        </w:tc>
        <w:tc>
          <w:tcPr>
            <w:tcW w:type="dxa" w:w="2556"/>
          </w:tcPr>
          <w:p>
            <w:r>
              <w:t>Applies with guidance.</w:t>
            </w:r>
          </w:p>
        </w:tc>
        <w:tc>
          <w:tcPr>
            <w:tcW w:type="dxa" w:w="2556"/>
          </w:tcPr>
          <w:p>
            <w:r>
              <w:t>Applies independently and adapts.</w:t>
            </w:r>
          </w:p>
        </w:tc>
      </w:tr>
      <w:tr>
        <w:tc>
          <w:tcPr>
            <w:tcW w:type="dxa" w:w="2556"/>
          </w:tcPr>
          <w:p>
            <w:r>
              <w:t>Professionalism</w:t>
            </w:r>
          </w:p>
        </w:tc>
        <w:tc>
          <w:tcPr>
            <w:tcW w:type="dxa" w:w="2556"/>
          </w:tcPr>
          <w:p>
            <w:r>
              <w:t>Follow-through is inconsistent.</w:t>
            </w:r>
          </w:p>
        </w:tc>
        <w:tc>
          <w:tcPr>
            <w:tcW w:type="dxa" w:w="2556"/>
          </w:tcPr>
          <w:p>
            <w:r>
              <w:t>Usually prepared and responsive.</w:t>
            </w:r>
          </w:p>
        </w:tc>
        <w:tc>
          <w:tcPr>
            <w:tcW w:type="dxa" w:w="2556"/>
          </w:tcPr>
          <w:p>
            <w:r>
              <w:t>Prepared, accountable, and reliable.</w:t>
            </w:r>
          </w:p>
        </w:tc>
      </w:tr>
      <w:tr>
        <w:tc>
          <w:tcPr>
            <w:tcW w:type="dxa" w:w="2556"/>
          </w:tcPr>
          <w:p>
            <w:r>
              <w:t>Evidence</w:t>
            </w:r>
          </w:p>
        </w:tc>
        <w:tc>
          <w:tcPr>
            <w:tcW w:type="dxa" w:w="2556"/>
          </w:tcPr>
          <w:p>
            <w:r>
              <w:t>Artifact is incomplete or vague.</w:t>
            </w:r>
          </w:p>
        </w:tc>
        <w:tc>
          <w:tcPr>
            <w:tcW w:type="dxa" w:w="2556"/>
          </w:tcPr>
          <w:p>
            <w:r>
              <w:t>Artifact is complete with some evidence.</w:t>
            </w:r>
          </w:p>
        </w:tc>
        <w:tc>
          <w:tcPr>
            <w:tcW w:type="dxa" w:w="2556"/>
          </w:tcPr>
          <w:p>
            <w:r>
              <w:t>Artifact is specific, polished, and connected to future use.</w:t>
            </w:r>
          </w:p>
        </w:tc>
      </w:tr>
      <w:tr>
        <w:tc>
          <w:tcPr>
            <w:tcW w:type="dxa" w:w="2556"/>
          </w:tcPr>
          <w:p>
            <w:r>
              <w:t>Reflection</w:t>
            </w:r>
          </w:p>
        </w:tc>
        <w:tc>
          <w:tcPr>
            <w:tcW w:type="dxa" w:w="2556"/>
          </w:tcPr>
          <w:p>
            <w:r>
              <w:t>Describes activity only.</w:t>
            </w:r>
          </w:p>
        </w:tc>
        <w:tc>
          <w:tcPr>
            <w:tcW w:type="dxa" w:w="2556"/>
          </w:tcPr>
          <w:p>
            <w:r>
              <w:t>Explains learning.</w:t>
            </w:r>
          </w:p>
        </w:tc>
        <w:tc>
          <w:tcPr>
            <w:tcW w:type="dxa" w:w="2556"/>
          </w:tcPr>
          <w:p>
            <w:r>
              <w:t>Connects evidence to growth and internship readiness.</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4"/>
      </w:rPr>
      <w:t>Future Ready™ © 2026 Jaime Lane. All Rights Reserved. Licensed to Ambassador Christian School for authorized pilot use only. No redistribution, resale, public posting, or reuse outside the license.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B7280"/>
        <w:sz w:val="16"/>
      </w:rPr>
      <w:t>Future Ready™ | Ambassador Christian School Pilot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D1B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D1B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D1B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D1B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