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1B3D"/>
          <w:sz w:val="50"/>
        </w:rPr>
        <w:t>FUTURE READY™</w:t>
      </w:r>
    </w:p>
    <w:p>
      <w:pPr>
        <w:jc w:val="center"/>
      </w:pPr>
      <w:r>
        <w:rPr>
          <w:b/>
          <w:color w:val="0D1B3D"/>
          <w:sz w:val="42"/>
        </w:rPr>
        <w:t>Week 4 Facilitator Guide</w:t>
      </w:r>
    </w:p>
    <w:p>
      <w:pPr>
        <w:jc w:val="center"/>
      </w:pPr>
      <w:r>
        <w:rPr>
          <w:i/>
          <w:color w:val="6B7280"/>
          <w:sz w:val="22"/>
        </w:rPr>
        <w:t>Choices Create Futures</w:t>
      </w:r>
    </w:p>
    <w:p>
      <w:pPr>
        <w:jc w:val="center"/>
      </w:pPr>
      <w:r>
        <w:rPr>
          <w:b/>
          <w:color w:val="F2B705"/>
        </w:rPr>
        <w:t>Discover Purpose. Build Skills. Launch Your Future.</w:t>
      </w:r>
    </w:p>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Essential Question: </w:t>
            </w:r>
            <w:r>
              <w:t>How do my habits and systems shape trust and opportunity?</w:t>
            </w:r>
          </w:p>
        </w:tc>
      </w:tr>
    </w:tbl>
    <w:p>
      <w:pPr>
        <w:pStyle w:val="Heading1"/>
      </w:pPr>
      <w:r>
        <w:t>Week at a Glance</w:t>
      </w:r>
    </w:p>
    <w:tbl>
      <w:tblPr>
        <w:tblStyle w:val="TableGrid"/>
        <w:tblW w:type="auto" w:w="0"/>
        <w:jc w:val="center"/>
        <w:tblLook w:firstColumn="1" w:firstRow="1" w:lastColumn="0" w:lastRow="0" w:noHBand="0" w:noVBand="1" w:val="04A0"/>
      </w:tblPr>
      <w:tblGrid>
        <w:gridCol w:w="5112"/>
        <w:gridCol w:w="5112"/>
      </w:tblGrid>
      <w:tr>
        <w:tc>
          <w:tcPr>
            <w:tcW w:type="dxa" w:w="5112"/>
            <w:shd w:fill="0D1B3D"/>
          </w:tcPr>
          <w:p>
            <w:r>
              <w:t>Element</w:t>
            </w:r>
          </w:p>
        </w:tc>
        <w:tc>
          <w:tcPr>
            <w:tcW w:type="dxa" w:w="5112"/>
            <w:shd w:fill="0D1B3D"/>
          </w:tcPr>
          <w:p>
            <w:r>
              <w:t>Details</w:t>
            </w:r>
          </w:p>
        </w:tc>
      </w:tr>
      <w:tr>
        <w:tc>
          <w:tcPr>
            <w:tcW w:type="dxa" w:w="5112"/>
          </w:tcPr>
          <w:p>
            <w:r>
              <w:t>Portfolio Evidence</w:t>
            </w:r>
          </w:p>
        </w:tc>
        <w:tc>
          <w:tcPr>
            <w:tcW w:type="dxa" w:w="5112"/>
          </w:tcPr>
          <w:p>
            <w:r>
              <w:t>Personal Reliability Workflow and CRM Practice Record</w:t>
            </w:r>
          </w:p>
        </w:tc>
      </w:tr>
      <w:tr>
        <w:tc>
          <w:tcPr>
            <w:tcW w:type="dxa" w:w="5112"/>
          </w:tcPr>
          <w:p>
            <w:r>
              <w:t>Badge</w:t>
            </w:r>
          </w:p>
        </w:tc>
        <w:tc>
          <w:tcPr>
            <w:tcW w:type="dxa" w:w="5112"/>
          </w:tcPr>
          <w:p>
            <w:r>
              <w:t>Reliable Professional</w:t>
            </w:r>
          </w:p>
        </w:tc>
      </w:tr>
      <w:tr>
        <w:tc>
          <w:tcPr>
            <w:tcW w:type="dxa" w:w="5112"/>
          </w:tcPr>
          <w:p>
            <w:r>
              <w:t>Suggested Speaker</w:t>
            </w:r>
          </w:p>
        </w:tc>
        <w:tc>
          <w:tcPr>
            <w:tcW w:type="dxa" w:w="5112"/>
          </w:tcPr>
          <w:p>
            <w:r>
              <w:t>Operations manager, project manager, HR leader, healthcare administrator, manufacturing supervisor, customer-success leader, or internship coordinator.</w:t>
            </w:r>
          </w:p>
        </w:tc>
      </w:tr>
      <w:tr>
        <w:tc>
          <w:tcPr>
            <w:tcW w:type="dxa" w:w="5112"/>
          </w:tcPr>
          <w:p>
            <w:r>
              <w:t>Industry Connection</w:t>
            </w:r>
          </w:p>
        </w:tc>
        <w:tc>
          <w:tcPr>
            <w:tcW w:type="dxa" w:w="5112"/>
          </w:tcPr>
          <w:p>
            <w:r>
              <w:t>Workflow, documentation, safety, handoffs, customer/patient experience, and continuous improvement in manufacturing and healthcare.</w:t>
            </w:r>
          </w:p>
        </w:tc>
      </w:tr>
    </w:tbl>
    <w:p>
      <w:pPr>
        <w:pStyle w:val="Heading1"/>
      </w:pPr>
      <w:r>
        <w:t>Before the Week Begins</w:t>
      </w:r>
    </w:p>
    <w:p>
      <w:pPr>
        <w:pStyle w:val="ListBullet"/>
      </w:pPr>
      <w:r>
        <w:t>Review all five sessions and speaker/tour timing.</w:t>
      </w:r>
    </w:p>
    <w:p>
      <w:pPr>
        <w:pStyle w:val="ListBullet"/>
      </w:pPr>
      <w:r>
        <w:t>Prepare student workbooks, slide deck, activity cards, timer, markers, chart paper, and devices.</w:t>
      </w:r>
    </w:p>
    <w:p>
      <w:pPr>
        <w:pStyle w:val="ListBullet"/>
      </w:pPr>
      <w:r>
        <w:t>Confirm school-approved Google Workspace, AI, LinkedIn/professional profile, and HubSpot/classroom CRM access.</w:t>
      </w:r>
    </w:p>
    <w:p>
      <w:pPr>
        <w:pStyle w:val="ListBullet"/>
      </w:pPr>
      <w:r>
        <w:t>Use only fictional or explicitly approved data in workplace technology labs.</w:t>
      </w:r>
    </w:p>
    <w:p>
      <w:pPr>
        <w:pStyle w:val="ListBullet"/>
      </w:pPr>
      <w:r>
        <w:t>Arrange the room for movement, triads, and team work.</w:t>
      </w:r>
    </w:p>
    <w:p>
      <w:pPr>
        <w:pStyle w:val="ListBullet"/>
      </w:pPr>
      <w:r>
        <w:t>Post the essential question and internship connection.</w:t>
      </w:r>
    </w:p>
    <w:p>
      <w:pPr>
        <w:pStyle w:val="Heading1"/>
      </w:pPr>
      <w:r>
        <w:t>Facilitator Opening Script</w:t>
      </w:r>
    </w:p>
    <w:p>
      <w:r>
        <w:t>Welcome to Week 4: Choices Create Futures. This week is active, practical, and connected to your Semester 2 internship. You will practice, build, receive feedback, and create evidence for your Future Ready™ portfolio. The goal is not perfection. The goal is growth, professionalism, and the confidence to use what you learn in a real workplace.</w:t>
      </w:r>
    </w:p>
    <w:p>
      <w:pPr>
        <w:pStyle w:val="Heading1"/>
      </w:pPr>
      <w:r>
        <w:t>Signature Experiences</w:t>
      </w:r>
    </w:p>
    <w:p>
      <w:pPr>
        <w:pStyle w:val="Heading2"/>
      </w:pPr>
      <w:r>
        <w:t>Role Play</w:t>
      </w:r>
    </w:p>
    <w:p>
      <w:r>
        <w:t>Own It, Facts, Impact, Solution, Next Step accountability conversation.</w:t>
      </w:r>
    </w:p>
    <w:p>
      <w:pPr>
        <w:pStyle w:val="Heading2"/>
      </w:pPr>
      <w:r>
        <w:t>Improv</w:t>
      </w:r>
    </w:p>
    <w:p>
      <w:r>
        <w:t>Change of Plan: new deadline, absent teammate, technology failure, or changed customer request.</w:t>
      </w:r>
    </w:p>
    <w:p>
      <w:pPr>
        <w:pStyle w:val="Heading2"/>
      </w:pPr>
      <w:r>
        <w:t>Case Scenario</w:t>
      </w:r>
    </w:p>
    <w:p>
      <w:r>
        <w:t>An internship candidate misses an interview because the invitation was not confirmed, no reminder was set, and no follow-up occurred. Teams redesign the workflow.</w:t>
      </w:r>
    </w:p>
    <w:p>
      <w:pPr>
        <w:pStyle w:val="Heading2"/>
      </w:pPr>
      <w:r>
        <w:t>AI Activity</w:t>
      </w:r>
    </w:p>
    <w:p>
      <w:r>
        <w:t>Evaluate an AI-drafted apology or status update for ownership, clarity, privacy, tone, and next step.</w:t>
      </w:r>
    </w:p>
    <w:p>
      <w:pPr>
        <w:pStyle w:val="Heading2"/>
      </w:pPr>
      <w:r>
        <w:t>LinkedIn / Professional Presence</w:t>
      </w:r>
    </w:p>
    <w:p>
      <w:r>
        <w:t>Profile checkpoint: verify headline, About section, education, projects, service, skills, and privacy settings before tours.</w:t>
      </w:r>
    </w:p>
    <w:p>
      <w:pPr>
        <w:pStyle w:val="Heading2"/>
      </w:pPr>
      <w:r>
        <w:t>CRM / Workplace Systems</w:t>
      </w:r>
    </w:p>
    <w:p>
      <w:r>
        <w:t>HubSpot or classroom CRM lab: company, contact, note, task, activity, due date, owner, status, and follow-up using fictional data.</w:t>
      </w:r>
    </w:p>
    <w:p>
      <w:pPr>
        <w:pStyle w:val="Heading2"/>
      </w:pPr>
      <w:r>
        <w:t>Mission Card</w:t>
      </w:r>
    </w:p>
    <w:p>
      <w:r>
        <w:t>Use one reliability system for five consecutive days and record what it prevented from slipping.</w:t>
      </w:r>
    </w:p>
    <w:p>
      <w:r>
        <w:br w:type="page"/>
      </w:r>
    </w:p>
    <w:p>
      <w:pPr>
        <w:pStyle w:val="Heading1"/>
      </w:pPr>
      <w:r>
        <w:t>Day 1: Professionalism Is a Pattern</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Identify behaviors that build or weaken professional trust.</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Trust Deposit or Withdrawal movement activity and Professional Choice Audit.</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professionalism is a pattern.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Trust Deposit or Withdrawal movement activity and Professional Choice Audit.</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2: Own the Mistake, Protect the Trust</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Respond to errors with honesty and solutions.</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Accountability framework and role-play scenarios.</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own the mistake, protect the trust.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Accountability framework and role-play scenarios.</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3: How Work Moves</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Map workflows and identify failure points.</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Healthcare appointment, manufacturing order, school event, or community project workflow map with disruption.</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how work moves.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Healthcare appointment, manufacturing order, school event, or community project workflow map with disruption.</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4: CRM Lab 1: Never Rely on Memory Alone</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Use basic CRM records to organize relationships and follow-up.</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Facilitator demo and student practice with fictional company, contact, note, task, due date, and activity.</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crm lab 1: never rely on memory alone.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Facilitator demo and student practice with fictional company, contact, note, task, due date, and activity.</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Day 5: Internship Readiness Simulation</w:t>
      </w:r>
    </w:p>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Objective: </w:t>
            </w:r>
            <w:r>
              <w:t>Integrate reliability, workflow, communication, and CRM habits.</w:t>
            </w:r>
          </w:p>
        </w:tc>
      </w:tr>
    </w:tbl>
    <w:tbl>
      <w:tblPr>
        <w:tblW w:type="auto" w:w="0"/>
        <w:jc w:val="center"/>
        <w:tblLook w:firstColumn="1" w:firstRow="1" w:lastColumn="0" w:lastRow="0" w:noHBand="0" w:noVBand="1" w:val="04A0"/>
      </w:tblPr>
      <w:tblGrid>
        <w:gridCol w:w="10224"/>
      </w:tblGrid>
      <w:tr>
        <w:tc>
          <w:tcPr>
            <w:tcW w:type="dxa" w:w="10224"/>
            <w:shd w:fill="FFF3C4"/>
            <w:vAlign w:val="center"/>
          </w:tcPr>
          <w:p>
            <w:r>
              <w:rPr>
                <w:b/>
                <w:color w:val="0D1B3D"/>
              </w:rPr>
              <w:t xml:space="preserve">Internship Connection: </w:t>
            </w:r>
            <w:r>
              <w:t>Students practice behavior that supervisors can observe: communication, reliability, teamwork, initiative, documentation, adaptability, or professional follow-through.</w:t>
            </w:r>
          </w:p>
        </w:tc>
      </w:tr>
    </w:tbl>
    <w:p>
      <w:pPr>
        <w:pStyle w:val="Heading2"/>
      </w:pPr>
      <w:r>
        <w:t>Materials</w:t>
      </w:r>
    </w:p>
    <w:p>
      <w:pPr>
        <w:pStyle w:val="ListBullet"/>
      </w:pPr>
      <w:r>
        <w:t>Week slide deck</w:t>
      </w:r>
    </w:p>
    <w:p>
      <w:pPr>
        <w:pStyle w:val="ListBullet"/>
      </w:pPr>
      <w:r>
        <w:t>Student workbook pages</w:t>
      </w:r>
    </w:p>
    <w:p>
      <w:pPr>
        <w:pStyle w:val="ListBullet"/>
      </w:pPr>
      <w:r>
        <w:t>Timer</w:t>
      </w:r>
    </w:p>
    <w:p>
      <w:pPr>
        <w:pStyle w:val="ListBullet"/>
      </w:pPr>
      <w:r>
        <w:t>Chart paper or whiteboard</w:t>
      </w:r>
    </w:p>
    <w:p>
      <w:pPr>
        <w:pStyle w:val="ListBullet"/>
      </w:pPr>
      <w:r>
        <w:t>Markers and sticky notes</w:t>
      </w:r>
    </w:p>
    <w:p>
      <w:pPr>
        <w:pStyle w:val="ListBullet"/>
      </w:pPr>
      <w:r>
        <w:t>Student devices when required</w:t>
      </w:r>
    </w:p>
    <w:p>
      <w:pPr>
        <w:pStyle w:val="ListBullet"/>
      </w:pPr>
      <w:r>
        <w:t>Printed activity, role-play, case, and assessment pages</w:t>
      </w:r>
    </w:p>
    <w:p>
      <w:pPr>
        <w:pStyle w:val="Heading2"/>
      </w:pPr>
      <w:r>
        <w:t>50-Minute Run of Show</w:t>
      </w:r>
    </w:p>
    <w:tbl>
      <w:tblPr>
        <w:tblStyle w:val="TableGrid"/>
        <w:tblW w:type="auto" w:w="0"/>
        <w:tblLook w:firstColumn="1" w:firstRow="1" w:lastColumn="0" w:lastRow="0" w:noHBand="0" w:noVBand="1" w:val="04A0"/>
      </w:tblPr>
      <w:tblGrid>
        <w:gridCol w:w="3408"/>
        <w:gridCol w:w="3408"/>
        <w:gridCol w:w="3408"/>
      </w:tblGrid>
      <w:tr>
        <w:tc>
          <w:tcPr>
            <w:tcW w:type="dxa" w:w="3408"/>
            <w:shd w:fill="0D1B3D"/>
          </w:tcPr>
          <w:p>
            <w:r>
              <w:t>Time</w:t>
            </w:r>
          </w:p>
        </w:tc>
        <w:tc>
          <w:tcPr>
            <w:tcW w:type="dxa" w:w="3408"/>
            <w:shd w:fill="0D1B3D"/>
          </w:tcPr>
          <w:p>
            <w:r>
              <w:t>Segment</w:t>
            </w:r>
          </w:p>
        </w:tc>
        <w:tc>
          <w:tcPr>
            <w:tcW w:type="dxa" w:w="3408"/>
            <w:shd w:fill="0D1B3D"/>
          </w:tcPr>
          <w:p>
            <w:r>
              <w:t>Facilitator Direction</w:t>
            </w:r>
          </w:p>
        </w:tc>
      </w:tr>
      <w:tr>
        <w:tc>
          <w:tcPr>
            <w:tcW w:type="dxa" w:w="3408"/>
          </w:tcPr>
          <w:p>
            <w:r>
              <w:t>0-5</w:t>
            </w:r>
          </w:p>
        </w:tc>
        <w:tc>
          <w:tcPr>
            <w:tcW w:type="dxa" w:w="3408"/>
          </w:tcPr>
          <w:p>
            <w:r>
              <w:t>Welcome / entry prompt</w:t>
            </w:r>
          </w:p>
        </w:tc>
        <w:tc>
          <w:tcPr>
            <w:tcW w:type="dxa" w:w="3408"/>
          </w:tcPr>
          <w:p>
            <w:r>
              <w:t>Greet students, display the prompt, and take attendance.</w:t>
            </w:r>
          </w:p>
        </w:tc>
      </w:tr>
      <w:tr>
        <w:tc>
          <w:tcPr>
            <w:tcW w:type="dxa" w:w="3408"/>
          </w:tcPr>
          <w:p>
            <w:r>
              <w:t>5-12</w:t>
            </w:r>
          </w:p>
        </w:tc>
        <w:tc>
          <w:tcPr>
            <w:tcW w:type="dxa" w:w="3408"/>
          </w:tcPr>
          <w:p>
            <w:r>
              <w:t>Teach the why</w:t>
            </w:r>
          </w:p>
        </w:tc>
        <w:tc>
          <w:tcPr>
            <w:tcW w:type="dxa" w:w="3408"/>
          </w:tcPr>
          <w:p>
            <w:r>
              <w:t>Connect the lesson to internships, tours, professional presence, or workplace systems.</w:t>
            </w:r>
          </w:p>
        </w:tc>
      </w:tr>
      <w:tr>
        <w:tc>
          <w:tcPr>
            <w:tcW w:type="dxa" w:w="3408"/>
          </w:tcPr>
          <w:p>
            <w:r>
              <w:t>12-30</w:t>
            </w:r>
          </w:p>
        </w:tc>
        <w:tc>
          <w:tcPr>
            <w:tcW w:type="dxa" w:w="3408"/>
          </w:tcPr>
          <w:p>
            <w:r>
              <w:t>Active experience</w:t>
            </w:r>
          </w:p>
        </w:tc>
        <w:tc>
          <w:tcPr>
            <w:tcW w:type="dxa" w:w="3408"/>
          </w:tcPr>
          <w:p>
            <w:r>
              <w:t>Plan an industry tour, assign owners, create records, write confirmation, prepare questions, handle disruptions, and deliver a status update.</w:t>
            </w:r>
          </w:p>
        </w:tc>
      </w:tr>
      <w:tr>
        <w:tc>
          <w:tcPr>
            <w:tcW w:type="dxa" w:w="3408"/>
          </w:tcPr>
          <w:p>
            <w:r>
              <w:t>30-40</w:t>
            </w:r>
          </w:p>
        </w:tc>
        <w:tc>
          <w:tcPr>
            <w:tcW w:type="dxa" w:w="3408"/>
          </w:tcPr>
          <w:p>
            <w:r>
              <w:t>Role play, improv, lab, or case application</w:t>
            </w:r>
          </w:p>
        </w:tc>
        <w:tc>
          <w:tcPr>
            <w:tcW w:type="dxa" w:w="3408"/>
          </w:tcPr>
          <w:p>
            <w:r>
              <w:t>Facilitate practice; pause, coach, and restart when useful.</w:t>
            </w:r>
          </w:p>
        </w:tc>
      </w:tr>
      <w:tr>
        <w:tc>
          <w:tcPr>
            <w:tcW w:type="dxa" w:w="3408"/>
          </w:tcPr>
          <w:p>
            <w:r>
              <w:t>40-47</w:t>
            </w:r>
          </w:p>
        </w:tc>
        <w:tc>
          <w:tcPr>
            <w:tcW w:type="dxa" w:w="3408"/>
          </w:tcPr>
          <w:p>
            <w:r>
              <w:t>Debrief and portfolio evidence</w:t>
            </w:r>
          </w:p>
        </w:tc>
        <w:tc>
          <w:tcPr>
            <w:tcW w:type="dxa" w:w="3408"/>
          </w:tcPr>
          <w:p>
            <w:r>
              <w:t>Ask students to name what worked, what changed, and what evidence should be saved.</w:t>
            </w:r>
          </w:p>
        </w:tc>
      </w:tr>
      <w:tr>
        <w:tc>
          <w:tcPr>
            <w:tcW w:type="dxa" w:w="3408"/>
          </w:tcPr>
          <w:p>
            <w:r>
              <w:t>47-50</w:t>
            </w:r>
          </w:p>
        </w:tc>
        <w:tc>
          <w:tcPr>
            <w:tcW w:type="dxa" w:w="3408"/>
          </w:tcPr>
          <w:p>
            <w:r>
              <w:t>Exit ticket / mission</w:t>
            </w:r>
          </w:p>
        </w:tc>
        <w:tc>
          <w:tcPr>
            <w:tcW w:type="dxa" w:w="3408"/>
          </w:tcPr>
          <w:p>
            <w:r>
              <w:t>Collect a written reflection and assign the Mission Card.</w:t>
            </w:r>
          </w:p>
        </w:tc>
      </w:tr>
    </w:tbl>
    <w:p>
      <w:pPr>
        <w:pStyle w:val="Heading2"/>
      </w:pPr>
      <w:r>
        <w:t>Facilitator Language</w:t>
      </w:r>
    </w:p>
    <w:p>
      <w:r>
        <w:t>Today we are working on internship readiness simulation. Employers and internship supervisors do not only listen to what you say; they watch what you do, how you respond, and whether you follow through. During the activity, pay attention to the evidence you create.</w:t>
      </w:r>
    </w:p>
    <w:p>
      <w:pPr>
        <w:pStyle w:val="Heading2"/>
      </w:pPr>
      <w:r>
        <w:t>Activity Instructions</w:t>
      </w:r>
    </w:p>
    <w:p>
      <w:r>
        <w:t>Plan an industry tour, assign owners, create records, write confirmation, prepare questions, handle disruptions, and deliver a status update.</w:t>
      </w:r>
    </w:p>
    <w:p>
      <w:pPr>
        <w:pStyle w:val="Heading2"/>
      </w:pPr>
      <w:r>
        <w:t>Debrief Questions</w:t>
      </w:r>
    </w:p>
    <w:p>
      <w:pPr>
        <w:pStyle w:val="ListBullet"/>
      </w:pPr>
      <w:r>
        <w:t>What did you notice about yourself?</w:t>
      </w:r>
    </w:p>
    <w:p>
      <w:pPr>
        <w:pStyle w:val="ListBullet"/>
      </w:pPr>
      <w:r>
        <w:t>What did you notice about the team?</w:t>
      </w:r>
    </w:p>
    <w:p>
      <w:pPr>
        <w:pStyle w:val="ListBullet"/>
      </w:pPr>
      <w:r>
        <w:t>What behavior would build trust with a supervisor?</w:t>
      </w:r>
    </w:p>
    <w:p>
      <w:pPr>
        <w:pStyle w:val="ListBullet"/>
      </w:pPr>
      <w:r>
        <w:t>What would you change in a second attempt?</w:t>
      </w:r>
    </w:p>
    <w:p>
      <w:pPr>
        <w:pStyle w:val="ListBullet"/>
      </w:pPr>
      <w:r>
        <w:t>What evidence belongs in your portfolio?</w:t>
      </w:r>
    </w:p>
    <w:p>
      <w:pPr>
        <w:pStyle w:val="Heading2"/>
      </w:pPr>
      <w:r>
        <w:t>Assessment Check</w:t>
      </w:r>
    </w:p>
    <w:p>
      <w:pPr>
        <w:pStyle w:val="ListBullet"/>
      </w:pPr>
      <w:r>
        <w:t>Participates respectfully and remains engaged.</w:t>
      </w:r>
    </w:p>
    <w:p>
      <w:pPr>
        <w:pStyle w:val="ListBullet"/>
      </w:pPr>
      <w:r>
        <w:t>Uses the week’s framework or workplace system.</w:t>
      </w:r>
    </w:p>
    <w:p>
      <w:pPr>
        <w:pStyle w:val="ListBullet"/>
      </w:pPr>
      <w:r>
        <w:t>Applies feedback during a second attempt.</w:t>
      </w:r>
    </w:p>
    <w:p>
      <w:pPr>
        <w:pStyle w:val="ListBullet"/>
      </w:pPr>
      <w:r>
        <w:t>Connects learning to an internship or tour.</w:t>
      </w:r>
    </w:p>
    <w:p>
      <w:pPr>
        <w:pStyle w:val="ListBullet"/>
      </w:pPr>
      <w:r>
        <w:t>Completes the workbook reflection and portfolio artifact.</w:t>
      </w:r>
    </w:p>
    <w:p>
      <w:pPr>
        <w:pStyle w:val="Heading2"/>
      </w:pPr>
      <w:r>
        <w:t>Substitute / First-Time Facilitator Notes</w:t>
      </w:r>
    </w:p>
    <w:p>
      <w:r>
        <w:t>Do not lecture for more than eight to ten minutes. Read the opening language, explain the outcome, run the activity, and use the debrief questions. Students may pass on sharing private experiences, but they must complete an alternative professional example. Protect psychological safety while maintaining participation expectations.</w:t>
      </w:r>
    </w:p>
    <w:p>
      <w:r>
        <w:br w:type="page"/>
      </w:r>
    </w:p>
    <w:p>
      <w:pPr>
        <w:pStyle w:val="Heading1"/>
      </w:pPr>
      <w:r>
        <w:t>Speaker Connection Guide</w:t>
      </w:r>
    </w:p>
    <w:p>
      <w:r>
        <w:t>Operations manager, project manager, HR leader, healthcare administrator, manufacturing supervisor, customer-success leader, or internship coordinator.</w:t>
      </w:r>
    </w:p>
    <w:p>
      <w:pPr>
        <w:pStyle w:val="ListBullet"/>
      </w:pPr>
      <w:r>
        <w:t>Share one honest turning point.</w:t>
      </w:r>
    </w:p>
    <w:p>
      <w:pPr>
        <w:pStyle w:val="ListBullet"/>
      </w:pPr>
      <w:r>
        <w:t>Explain a skill used daily that was developed through practice.</w:t>
      </w:r>
    </w:p>
    <w:p>
      <w:pPr>
        <w:pStyle w:val="ListBullet"/>
      </w:pPr>
      <w:r>
        <w:t>Describe a mistake and professional recovery.</w:t>
      </w:r>
    </w:p>
    <w:p>
      <w:pPr>
        <w:pStyle w:val="ListBullet"/>
      </w:pPr>
      <w:r>
        <w:t>Connect the lesson to internship expectations.</w:t>
      </w:r>
    </w:p>
    <w:p>
      <w:pPr>
        <w:pStyle w:val="ListBullet"/>
      </w:pPr>
      <w:r>
        <w:t>Leave students with one action they can take this week.</w:t>
      </w:r>
    </w:p>
    <w:p>
      <w:pPr>
        <w:pStyle w:val="Heading1"/>
      </w:pPr>
      <w:r>
        <w:t>Tour and Employer Connection</w:t>
      </w:r>
    </w:p>
    <w:p>
      <w:r>
        <w:t>Workflow, documentation, safety, handoffs, customer/patient experience, and continuous improvement in manufacturing and healthcare.</w:t>
      </w:r>
    </w:p>
    <w:p>
      <w:pPr>
        <w:pStyle w:val="ListBullet"/>
      </w:pPr>
      <w:r>
        <w:t>Research the organization before the visit.</w:t>
      </w:r>
    </w:p>
    <w:p>
      <w:pPr>
        <w:pStyle w:val="ListBullet"/>
      </w:pPr>
      <w:r>
        <w:t>Prepare three questions connected to this week.</w:t>
      </w:r>
    </w:p>
    <w:p>
      <w:pPr>
        <w:pStyle w:val="ListBullet"/>
      </w:pPr>
      <w:r>
        <w:t>Practice introductions and professional dress expectations.</w:t>
      </w:r>
    </w:p>
    <w:p>
      <w:pPr>
        <w:pStyle w:val="ListBullet"/>
      </w:pPr>
      <w:r>
        <w:t>Log the interaction and follow-up task.</w:t>
      </w:r>
    </w:p>
    <w:p>
      <w:pPr>
        <w:pStyle w:val="ListBullet"/>
      </w:pPr>
      <w:r>
        <w:t>Send a personalized thank-you message.</w:t>
      </w:r>
    </w:p>
    <w:p>
      <w:pPr>
        <w:pStyle w:val="ListBullet"/>
      </w:pPr>
      <w:r>
        <w:t>Save the reflection in the Employer Tours portfolio folder.</w:t>
      </w:r>
    </w:p>
    <w:p>
      <w:pPr>
        <w:pStyle w:val="Heading1"/>
      </w:pPr>
      <w:r>
        <w:t>Week Assessment Rubric</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0D1B3D"/>
          </w:tcPr>
          <w:p>
            <w:r>
              <w:t>Criteria</w:t>
            </w:r>
          </w:p>
        </w:tc>
        <w:tc>
          <w:tcPr>
            <w:tcW w:type="dxa" w:w="2556"/>
            <w:shd w:fill="0D1B3D"/>
          </w:tcPr>
          <w:p>
            <w:r>
              <w:t>Beginning</w:t>
            </w:r>
          </w:p>
        </w:tc>
        <w:tc>
          <w:tcPr>
            <w:tcW w:type="dxa" w:w="2556"/>
            <w:shd w:fill="0D1B3D"/>
          </w:tcPr>
          <w:p>
            <w:r>
              <w:t>Developing</w:t>
            </w:r>
          </w:p>
        </w:tc>
        <w:tc>
          <w:tcPr>
            <w:tcW w:type="dxa" w:w="2556"/>
            <w:shd w:fill="0D1B3D"/>
          </w:tcPr>
          <w:p>
            <w:r>
              <w:t>Future Ready™</w:t>
            </w:r>
          </w:p>
        </w:tc>
      </w:tr>
      <w:tr>
        <w:tc>
          <w:tcPr>
            <w:tcW w:type="dxa" w:w="2556"/>
          </w:tcPr>
          <w:p>
            <w:r>
              <w:t>Participation</w:t>
            </w:r>
          </w:p>
        </w:tc>
        <w:tc>
          <w:tcPr>
            <w:tcW w:type="dxa" w:w="2556"/>
          </w:tcPr>
          <w:p>
            <w:r>
              <w:t>Needs repeated prompting.</w:t>
            </w:r>
          </w:p>
        </w:tc>
        <w:tc>
          <w:tcPr>
            <w:tcW w:type="dxa" w:w="2556"/>
          </w:tcPr>
          <w:p>
            <w:r>
              <w:t>Participates with support.</w:t>
            </w:r>
          </w:p>
        </w:tc>
        <w:tc>
          <w:tcPr>
            <w:tcW w:type="dxa" w:w="2556"/>
          </w:tcPr>
          <w:p>
            <w:r>
              <w:t>Engages, contributes, and supports others.</w:t>
            </w:r>
          </w:p>
        </w:tc>
      </w:tr>
      <w:tr>
        <w:tc>
          <w:tcPr>
            <w:tcW w:type="dxa" w:w="2556"/>
          </w:tcPr>
          <w:p>
            <w:r>
              <w:t>Skill Application</w:t>
            </w:r>
          </w:p>
        </w:tc>
        <w:tc>
          <w:tcPr>
            <w:tcW w:type="dxa" w:w="2556"/>
          </w:tcPr>
          <w:p>
            <w:r>
              <w:t>Names the skill but does not apply it.</w:t>
            </w:r>
          </w:p>
        </w:tc>
        <w:tc>
          <w:tcPr>
            <w:tcW w:type="dxa" w:w="2556"/>
          </w:tcPr>
          <w:p>
            <w:r>
              <w:t>Applies with guidance.</w:t>
            </w:r>
          </w:p>
        </w:tc>
        <w:tc>
          <w:tcPr>
            <w:tcW w:type="dxa" w:w="2556"/>
          </w:tcPr>
          <w:p>
            <w:r>
              <w:t>Applies independently and adapts.</w:t>
            </w:r>
          </w:p>
        </w:tc>
      </w:tr>
      <w:tr>
        <w:tc>
          <w:tcPr>
            <w:tcW w:type="dxa" w:w="2556"/>
          </w:tcPr>
          <w:p>
            <w:r>
              <w:t>Professionalism</w:t>
            </w:r>
          </w:p>
        </w:tc>
        <w:tc>
          <w:tcPr>
            <w:tcW w:type="dxa" w:w="2556"/>
          </w:tcPr>
          <w:p>
            <w:r>
              <w:t>Follow-through is inconsistent.</w:t>
            </w:r>
          </w:p>
        </w:tc>
        <w:tc>
          <w:tcPr>
            <w:tcW w:type="dxa" w:w="2556"/>
          </w:tcPr>
          <w:p>
            <w:r>
              <w:t>Usually prepared and responsive.</w:t>
            </w:r>
          </w:p>
        </w:tc>
        <w:tc>
          <w:tcPr>
            <w:tcW w:type="dxa" w:w="2556"/>
          </w:tcPr>
          <w:p>
            <w:r>
              <w:t>Prepared, accountable, and reliable.</w:t>
            </w:r>
          </w:p>
        </w:tc>
      </w:tr>
      <w:tr>
        <w:tc>
          <w:tcPr>
            <w:tcW w:type="dxa" w:w="2556"/>
          </w:tcPr>
          <w:p>
            <w:r>
              <w:t>Evidence</w:t>
            </w:r>
          </w:p>
        </w:tc>
        <w:tc>
          <w:tcPr>
            <w:tcW w:type="dxa" w:w="2556"/>
          </w:tcPr>
          <w:p>
            <w:r>
              <w:t>Artifact is incomplete or vague.</w:t>
            </w:r>
          </w:p>
        </w:tc>
        <w:tc>
          <w:tcPr>
            <w:tcW w:type="dxa" w:w="2556"/>
          </w:tcPr>
          <w:p>
            <w:r>
              <w:t>Artifact is complete with some evidence.</w:t>
            </w:r>
          </w:p>
        </w:tc>
        <w:tc>
          <w:tcPr>
            <w:tcW w:type="dxa" w:w="2556"/>
          </w:tcPr>
          <w:p>
            <w:r>
              <w:t>Artifact is specific, polished, and connected to future use.</w:t>
            </w:r>
          </w:p>
        </w:tc>
      </w:tr>
      <w:tr>
        <w:tc>
          <w:tcPr>
            <w:tcW w:type="dxa" w:w="2556"/>
          </w:tcPr>
          <w:p>
            <w:r>
              <w:t>Reflection</w:t>
            </w:r>
          </w:p>
        </w:tc>
        <w:tc>
          <w:tcPr>
            <w:tcW w:type="dxa" w:w="2556"/>
          </w:tcPr>
          <w:p>
            <w:r>
              <w:t>Describes activity only.</w:t>
            </w:r>
          </w:p>
        </w:tc>
        <w:tc>
          <w:tcPr>
            <w:tcW w:type="dxa" w:w="2556"/>
          </w:tcPr>
          <w:p>
            <w:r>
              <w:t>Explains learning.</w:t>
            </w:r>
          </w:p>
        </w:tc>
        <w:tc>
          <w:tcPr>
            <w:tcW w:type="dxa" w:w="2556"/>
          </w:tcPr>
          <w:p>
            <w:r>
              <w:t>Connects evidence to growth and internship readiness.</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4"/>
      </w:rPr>
      <w:t>Future Ready™ © 2026 Jaime Lane. All Rights Reserved. Licensed to Ambassador Christian School for authorized pilot use only. No redistribution, resale, public posting, or reuse outside the license.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B7280"/>
        <w:sz w:val="16"/>
      </w:rPr>
      <w:t>Future Ready™ | Ambassador Christian School Pilot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D1B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1B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D1B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D1B3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