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Assessment &amp; Rubric</w:t>
      </w:r>
    </w:p>
    <w:p>
      <w:pPr>
        <w:jc w:val="center"/>
      </w:pPr>
      <w:r>
        <w:rPr>
          <w:b/>
          <w:color w:val="F2B705"/>
        </w:rPr>
        <w:t>Week 3 | My Story Has Value</w:t>
      </w:r>
    </w:p>
    <w:p>
      <w:pPr>
        <w:pStyle w:val="Heading1"/>
      </w:pPr>
      <w:r>
        <w:t>Assessment Title</w:t>
      </w:r>
    </w:p>
    <w:p>
      <w:r>
        <w:t>Week 3 Readiness Demonstration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Future Ready™ Introduction Script, Professional Story, and Practice Video</w:t>
      </w:r>
    </w:p>
    <w:p>
      <w:pPr>
        <w:pStyle w:val="ListBullet"/>
      </w:pPr>
      <w:r>
        <w:t>Participation in active practice</w:t>
      </w:r>
    </w:p>
    <w:p>
      <w:pPr>
        <w:pStyle w:val="ListBullet"/>
      </w:pPr>
      <w:r>
        <w:t>Role play and feedback application</w:t>
      </w:r>
    </w:p>
    <w:p>
      <w:pPr>
        <w:pStyle w:val="ListBullet"/>
      </w:pPr>
      <w:r>
        <w:t>Workplace technology or systems practice</w:t>
      </w:r>
    </w:p>
    <w:p>
      <w:pPr>
        <w:pStyle w:val="ListBullet"/>
      </w:pPr>
      <w:r>
        <w:t>Weekly reflection and Mission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Beginning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Future Ready™</w:t>
            </w:r>
          </w:p>
        </w:tc>
      </w:tr>
      <w:tr>
        <w:tc>
          <w:tcPr>
            <w:tcW w:type="dxa" w:w="2556"/>
          </w:tcPr>
          <w:p>
            <w:r>
              <w:t>Engagement</w:t>
            </w:r>
          </w:p>
        </w:tc>
        <w:tc>
          <w:tcPr>
            <w:tcW w:type="dxa" w:w="2556"/>
          </w:tcPr>
          <w:p>
            <w:r>
              <w:t>Avoids or disrupts practice.</w:t>
            </w:r>
          </w:p>
        </w:tc>
        <w:tc>
          <w:tcPr>
            <w:tcW w:type="dxa" w:w="2556"/>
          </w:tcPr>
          <w:p>
            <w:r>
              <w:t>Participates with prompting.</w:t>
            </w:r>
          </w:p>
        </w:tc>
        <w:tc>
          <w:tcPr>
            <w:tcW w:type="dxa" w:w="2556"/>
          </w:tcPr>
          <w:p>
            <w:r>
              <w:t>Engages, contributes, and supports peers.</w:t>
            </w:r>
          </w:p>
        </w:tc>
      </w:tr>
      <w:tr>
        <w:tc>
          <w:tcPr>
            <w:tcW w:type="dxa" w:w="2556"/>
          </w:tcPr>
          <w:p>
            <w:r>
              <w:t>Skill Application</w:t>
            </w:r>
          </w:p>
        </w:tc>
        <w:tc>
          <w:tcPr>
            <w:tcW w:type="dxa" w:w="2556"/>
          </w:tcPr>
          <w:p>
            <w:r>
              <w:t>Cannot yet apply the framework.</w:t>
            </w:r>
          </w:p>
        </w:tc>
        <w:tc>
          <w:tcPr>
            <w:tcW w:type="dxa" w:w="2556"/>
          </w:tcPr>
          <w:p>
            <w:r>
              <w:t>Applies with guidance.</w:t>
            </w:r>
          </w:p>
        </w:tc>
        <w:tc>
          <w:tcPr>
            <w:tcW w:type="dxa" w:w="2556"/>
          </w:tcPr>
          <w:p>
            <w:r>
              <w:t>Applies independently and adapts.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Preparation or follow-through is inconsistent.</w:t>
            </w:r>
          </w:p>
        </w:tc>
        <w:tc>
          <w:tcPr>
            <w:tcW w:type="dxa" w:w="2556"/>
          </w:tcPr>
          <w:p>
            <w:r>
              <w:t>Usually prepared and responsive.</w:t>
            </w:r>
          </w:p>
        </w:tc>
        <w:tc>
          <w:tcPr>
            <w:tcW w:type="dxa" w:w="2556"/>
          </w:tcPr>
          <w:p>
            <w:r>
              <w:t>Reliable, accountable, respectful, and prepared.</w:t>
            </w:r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Vague or incomplete.</w:t>
            </w:r>
          </w:p>
        </w:tc>
        <w:tc>
          <w:tcPr>
            <w:tcW w:type="dxa" w:w="2556"/>
          </w:tcPr>
          <w:p>
            <w:r>
              <w:t>Complete with some specifics.</w:t>
            </w:r>
          </w:p>
        </w:tc>
        <w:tc>
          <w:tcPr>
            <w:tcW w:type="dxa" w:w="2556"/>
          </w:tcPr>
          <w:p>
            <w:r>
              <w:t>Specific, polished, and clearly connected to future use.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Describes the activity.</w:t>
            </w:r>
          </w:p>
        </w:tc>
        <w:tc>
          <w:tcPr>
            <w:tcW w:type="dxa" w:w="2556"/>
          </w:tcPr>
          <w:p>
            <w:r>
              <w:t>Explains learning.</w:t>
            </w:r>
          </w:p>
        </w:tc>
        <w:tc>
          <w:tcPr>
            <w:tcW w:type="dxa" w:w="2556"/>
          </w:tcPr>
          <w:p>
            <w:r>
              <w:t>Uses evidence to connect growth to internship readiness.</w:t>
            </w:r>
          </w:p>
        </w:tc>
      </w:tr>
    </w:tbl>
    <w:p>
      <w:pPr>
        <w:pStyle w:val="Heading1"/>
      </w:pPr>
      <w:r>
        <w:t>Facilitator Feedback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