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83F8C">
      <w:pPr>
        <w:keepNext w:val="0"/>
        <w:spacing w:before="0" w:after="60" w:line="264" w:lineRule="auto"/>
        <w:jc w:val="left"/>
      </w:pPr>
      <w:r>
        <w:rPr>
          <w:rFonts w:hint="eastAsia" w:ascii="Hiragino Sans GB" w:hAnsi="Hiragino Sans GB" w:eastAsia="Hiragino Sans GB" w:cs="Hiragino Sans GB"/>
          <w:b/>
          <w:i w:val="0"/>
          <w:color w:val="0B2545"/>
          <w:sz w:val="50"/>
        </w:rPr>
        <w:t>银行碰一碰卡后台管理系统</w:t>
      </w:r>
    </w:p>
    <w:p w14:paraId="015977B0">
      <w:pPr>
        <w:keepNext w:val="0"/>
        <w:spacing w:before="0" w:after="280" w:line="264" w:lineRule="auto"/>
        <w:jc w:val="left"/>
      </w:pPr>
      <w:r>
        <w:rPr>
          <w:rFonts w:hint="eastAsia" w:ascii="Hiragino Sans GB" w:hAnsi="Hiragino Sans GB" w:eastAsia="Hiragino Sans GB" w:cs="Hiragino Sans GB"/>
          <w:b/>
          <w:i w:val="0"/>
          <w:color w:val="1F4D78"/>
          <w:sz w:val="36"/>
        </w:rPr>
        <w:t>MVP 功能模块划分分析方案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4DBAF69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AF16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8"/>
              </w:rPr>
              <w:t>项目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AC7EA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8"/>
              </w:rPr>
              <w:t>内容</w:t>
            </w:r>
          </w:p>
        </w:tc>
      </w:tr>
      <w:tr w14:paraId="784FA66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F9E24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8"/>
              </w:rPr>
              <w:t>文档版本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4147B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8"/>
              </w:rPr>
              <w:t>V2.2</w:t>
            </w:r>
          </w:p>
        </w:tc>
      </w:tr>
      <w:tr w14:paraId="5B3C4FE3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15F02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8"/>
              </w:rPr>
              <w:t>编制日期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254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8"/>
              </w:rPr>
              <w:t>2026 年 08 月 13 日</w:t>
            </w:r>
          </w:p>
        </w:tc>
      </w:tr>
      <w:tr w14:paraId="26DE7C7A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FC00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8"/>
              </w:rPr>
              <w:t>适用阶段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BBC2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8"/>
              </w:rPr>
              <w:t>MVP 开发前的系统设计、任务拆分和验收准备</w:t>
            </w:r>
          </w:p>
        </w:tc>
      </w:tr>
      <w:tr w14:paraId="4221DA74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220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8"/>
              </w:rPr>
              <w:t>适用对象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50700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8"/>
              </w:rPr>
              <w:t>产品、领域分析、后端、前端、数据库、测试、运维和项目验收人员</w:t>
            </w:r>
          </w:p>
        </w:tc>
      </w:tr>
      <w:tr w14:paraId="64D4F065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9CA8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8"/>
              </w:rPr>
              <w:t>规划说明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E9B7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8"/>
              </w:rPr>
              <w:t>模块状态表示计划范围，不表示当前代码完成度；V2.2 统一 Casdoor/IAM、Webhook 幂等和 LinkForty 数据访问边界。</w:t>
            </w:r>
          </w:p>
        </w:tc>
      </w:tr>
      <w:tr w14:paraId="18413B5D">
        <w:tblPrEx>
          <w:tblBorders>
            <w:top w:val="single" w:color="2E74B5" w:sz="10" w:space="0"/>
            <w:left w:val="single" w:color="2E74B5" w:sz="10" w:space="0"/>
            <w:bottom w:val="single" w:color="2E74B5" w:sz="10" w:space="0"/>
            <w:right w:val="single" w:color="2E74B5" w:sz="10" w:space="0"/>
            <w:insideH w:val="single" w:color="2E74B5" w:sz="10" w:space="0"/>
            <w:insideV w:val="single" w:color="2E74B5" w:sz="10" w:space="0"/>
          </w:tblBorders>
        </w:tblPrEx>
        <w:tc>
          <w:tcPr>
            <w:tcW w:w="9360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4ACD5">
            <w:pPr>
              <w:spacing w:before="40" w:after="40" w:line="252" w:lineRule="auto"/>
            </w:pPr>
            <w:r>
              <w:rPr>
                <w:rFonts w:hint="eastAsia" w:ascii="Hiragino Sans GB" w:hAnsi="Hiragino Sans GB" w:eastAsia="Hiragino Sans GB" w:cs="Hiragino Sans GB"/>
                <w:b/>
                <w:color w:val="2E74B5"/>
                <w:sz w:val="20"/>
              </w:rPr>
              <w:t>使用边界：</w:t>
            </w:r>
            <w:r>
              <w:rPr>
                <w:rFonts w:hint="eastAsia" w:ascii="Arial Unicode MS" w:hAnsi="Arial Unicode MS" w:eastAsia="Arial Unicode MS" w:cs="Arial Unicode MS"/>
                <w:color w:val="1F2933"/>
                <w:sz w:val="20"/>
              </w:rPr>
              <w:t>本方案定义业务模块、外部系统和横向技术能力的责任边界；详细需求、数据库 DDL、接口契约和权限矩阵应在本方案确定的归属基础上继续展开。</w:t>
            </w:r>
          </w:p>
        </w:tc>
      </w:tr>
    </w:tbl>
    <w:p w14:paraId="515998C7">
      <w:pPr>
        <w:spacing w:after="40"/>
      </w:pPr>
    </w:p>
    <w:p w14:paraId="7BACC0AC">
      <w:r>
        <w:rPr>
          <w:rFonts w:ascii="Hiragino Sans GB" w:hAnsi="Hiragino Sans GB" w:eastAsia="Hiragino Sans GB" w:cs="Hiragino Sans GB"/>
        </w:rPr>
        <w:br w:type="page"/>
      </w:r>
    </w:p>
    <w:p w14:paraId="04B8E1DC">
      <w:pPr>
        <w:pStyle w:val="3"/>
        <w:keepNext/>
      </w:pPr>
      <w:r>
        <w:rPr>
          <w:rFonts w:hint="eastAsia" w:ascii="Hiragino Sans GB" w:hAnsi="Hiragino Sans GB" w:eastAsia="Hiragino Sans GB" w:cs="Hiragino Sans GB"/>
          <w:b/>
          <w:color w:val="2E74B5"/>
          <w:sz w:val="32"/>
        </w:rPr>
        <w:t>1. 文档目的</w:t>
      </w:r>
    </w:p>
    <w:p w14:paraId="225E0D57">
      <w:pPr>
        <w:keepNext w:val="0"/>
        <w:spacing w:before="0" w:after="120" w:line="264" w:lineRule="auto"/>
        <w:jc w:val="left"/>
      </w:pPr>
      <w:r>
        <w:rPr>
          <w:rFonts w:hint="eastAsia" w:ascii="Arial Unicode MS" w:hAnsi="Arial Unicode MS" w:eastAsia="Arial Unicode MS" w:cs="Arial Unicode MS"/>
          <w:b w:val="0"/>
          <w:i w:val="0"/>
          <w:color w:val="1F2933"/>
          <w:sz w:val="21"/>
        </w:rPr>
        <w:t>本方案用于确定银行碰一碰卡后台管理系统 MVP 的业务模块、职责范围、核心数据归属、接口边界、权限边界和流程责任。产品、研发、测试和验收人员应使用同一模块定义拆分页面、服务、数据表、接口和测试场景。</w:t>
      </w:r>
    </w:p>
    <w:p w14:paraId="41760519">
      <w:pPr>
        <w:pStyle w:val="3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32"/>
        </w:rPr>
        <w:t>2. 系统范围</w:t>
      </w:r>
    </w:p>
    <w:p w14:paraId="046B591F">
      <w:pPr>
        <w:pStyle w:val="4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26"/>
        </w:rPr>
        <w:t>2.1 业务范围</w:t>
      </w:r>
    </w:p>
    <w:p w14:paraId="038E4880">
      <w:pPr>
        <w:pStyle w:val="16"/>
        <w:spacing w:after="80" w:line="280" w:lineRule="auto"/>
        <w:ind w:left="720" w:hanging="360"/>
      </w:pPr>
      <w:r>
        <w:rPr>
          <w:rFonts w:hint="eastAsia" w:ascii="Arial Unicode MS" w:hAnsi="Arial Unicode MS" w:eastAsia="Arial Unicode MS" w:cs="Arial Unicode MS"/>
          <w:color w:val="1F2933"/>
          <w:sz w:val="20"/>
        </w:rPr>
        <w:t>银行后台维护机构、支行、部门、客户经理、触点载体资产、触点载体绑定、目标资源（业务地址）和路由规则。</w:t>
      </w:r>
    </w:p>
    <w:p w14:paraId="61B20A16">
      <w:pPr>
        <w:pStyle w:val="16"/>
        <w:spacing w:after="80" w:line="280" w:lineRule="auto"/>
        <w:ind w:left="720" w:hanging="360"/>
      </w:pPr>
      <w:r>
        <w:rPr>
          <w:rFonts w:hint="eastAsia" w:ascii="Arial Unicode MS" w:hAnsi="Arial Unicode MS" w:eastAsia="Arial Unicode MS" w:cs="Arial Unicode MS"/>
          <w:color w:val="1F2933"/>
          <w:sz w:val="20"/>
        </w:rPr>
        <w:t>系统接收 LinkForty 点击事件通知，将入口 Link、触点载体资产和绑定快照关联为触碰事件。</w:t>
      </w:r>
    </w:p>
    <w:p w14:paraId="50CAB37A">
      <w:pPr>
        <w:pStyle w:val="16"/>
        <w:spacing w:after="80" w:line="280" w:lineRule="auto"/>
        <w:ind w:left="720" w:hanging="360"/>
      </w:pPr>
      <w:r>
        <w:rPr>
          <w:rFonts w:hint="eastAsia" w:ascii="Arial Unicode MS" w:hAnsi="Arial Unicode MS" w:eastAsia="Arial Unicode MS" w:cs="Arial Unicode MS"/>
          <w:color w:val="1F2933"/>
          <w:sz w:val="20"/>
        </w:rPr>
        <w:t>系统基于已确认的数据源提供点击、触碰、安装、应用事件和银行业务办理量等指标查询。</w:t>
      </w:r>
    </w:p>
    <w:p w14:paraId="0E64E5EB">
      <w:pPr>
        <w:pStyle w:val="4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26"/>
        </w:rPr>
        <w:t>2.2 外部协作范围</w:t>
      </w:r>
    </w:p>
    <w:p w14:paraId="49BE2156">
      <w:pPr>
        <w:pStyle w:val="16"/>
        <w:spacing w:after="80" w:line="280" w:lineRule="auto"/>
        <w:ind w:left="720" w:hanging="360"/>
      </w:pPr>
      <w:r>
        <w:rPr>
          <w:rFonts w:hint="eastAsia" w:ascii="Arial Unicode MS" w:hAnsi="Arial Unicode MS" w:eastAsia="Arial Unicode MS" w:cs="Arial Unicode MS"/>
          <w:color w:val="1F2933"/>
          <w:sz w:val="20"/>
        </w:rPr>
        <w:t>LinkForty API：创建或更新入口 Link、目标配置及相关外部资源。</w:t>
      </w:r>
    </w:p>
    <w:p w14:paraId="1271E2C0">
      <w:pPr>
        <w:pStyle w:val="16"/>
        <w:spacing w:after="80" w:line="280" w:lineRule="auto"/>
        <w:ind w:left="720" w:hanging="360"/>
      </w:pPr>
      <w:r>
        <w:rPr>
          <w:rFonts w:hint="eastAsia" w:ascii="Arial Unicode MS" w:hAnsi="Arial Unicode MS" w:eastAsia="Arial Unicode MS" w:cs="Arial Unicode MS"/>
          <w:color w:val="1F2933"/>
          <w:sz w:val="20"/>
        </w:rPr>
        <w:t>LinkForty 点击事件和 Webhook：产生访问事实并向后台发送事件通知。</w:t>
      </w:r>
    </w:p>
    <w:p w14:paraId="01F4923F">
      <w:pPr>
        <w:pStyle w:val="16"/>
        <w:spacing w:after="80" w:line="280" w:lineRule="auto"/>
        <w:ind w:left="720" w:hanging="360"/>
      </w:pPr>
      <w:r>
        <w:rPr>
          <w:rFonts w:hint="eastAsia" w:ascii="Arial Unicode MS" w:hAnsi="Arial Unicode MS" w:eastAsia="Arial Unicode MS" w:cs="Arial Unicode MS"/>
          <w:color w:val="1F2933"/>
          <w:sz w:val="20"/>
        </w:rPr>
        <w:t>银行日志平台：承载运行日志或审计日志，具体字段、接口和保留期待确认。</w:t>
      </w:r>
    </w:p>
    <w:p w14:paraId="672841E2">
      <w:pPr>
        <w:pStyle w:val="16"/>
        <w:spacing w:after="80" w:line="280" w:lineRule="auto"/>
        <w:ind w:left="720" w:hanging="360"/>
      </w:pPr>
      <w:r>
        <w:rPr>
          <w:rFonts w:hint="eastAsia" w:ascii="Arial Unicode MS" w:hAnsi="Arial Unicode MS" w:eastAsia="Arial Unicode MS" w:cs="Arial Unicode MS"/>
          <w:color w:val="1F2933"/>
          <w:sz w:val="20"/>
        </w:rPr>
        <w:t>银行业务系统：提供真实办理结果、办理量和金额等业务事实，接口契约待确认。</w:t>
      </w:r>
    </w:p>
    <w:p w14:paraId="16A52314">
      <w:pPr>
        <w:pStyle w:val="16"/>
        <w:spacing w:after="80" w:line="280" w:lineRule="auto"/>
        <w:ind w:left="720" w:hanging="360"/>
      </w:pPr>
      <w:r>
        <w:rPr>
          <w:rFonts w:hint="eastAsia" w:ascii="Arial Unicode MS" w:hAnsi="Arial Unicode MS" w:eastAsia="Arial Unicode MS" w:cs="Arial Unicode MS"/>
          <w:color w:val="1F2933"/>
          <w:sz w:val="20"/>
        </w:rPr>
        <w:t>PostgreSQL、Redis、Android/iOS 应用或 SDK、NFC/NDEF 触点载体介质：作为数据存储、缓存、终端和介质协作对象。</w:t>
      </w:r>
    </w:p>
    <w:p w14:paraId="4A9C15E1">
      <w:pPr>
        <w:pStyle w:val="4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26"/>
        </w:rPr>
        <w:t>2.3 不作为独立业务模块的内容</w:t>
      </w:r>
    </w:p>
    <w:p w14:paraId="169CB244">
      <w:pPr>
        <w:keepNext w:val="0"/>
        <w:spacing w:before="0" w:after="120" w:line="264" w:lineRule="auto"/>
        <w:jc w:val="left"/>
      </w:pPr>
      <w:r>
        <w:rPr>
          <w:rFonts w:hint="eastAsia" w:ascii="Arial Unicode MS" w:hAnsi="Arial Unicode MS" w:eastAsia="Arial Unicode MS" w:cs="Arial Unicode MS"/>
          <w:b w:val="0"/>
          <w:i w:val="0"/>
          <w:color w:val="1F2933"/>
          <w:sz w:val="21"/>
        </w:rPr>
        <w:t>Repository、DTO、异常处理、拦截器、配置文件、缓存工具、日志工具、单个定时任务、单个接口和数据库访问层属于模块内部组件或横向技术能力，不单独列为业务模块。</w:t>
      </w:r>
    </w:p>
    <w:p w14:paraId="4A53A4C9">
      <w:pPr>
        <w:pStyle w:val="3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32"/>
        </w:rPr>
        <w:t>3. 模块划分依据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200"/>
        <w:gridCol w:w="3660"/>
      </w:tblGrid>
      <w:tr w14:paraId="262C33F4">
        <w:trPr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B016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依据类别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B6DD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材料或来源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5CF8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用于确定的内容</w:t>
            </w:r>
          </w:p>
        </w:tc>
      </w:tr>
      <w:tr w14:paraId="452C25E5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5C2E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业务需求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9814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银行后台业务范围和 MVP 功能描述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15C9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确定模块目标、使用者、命令和查询范围</w:t>
            </w:r>
          </w:p>
        </w:tc>
      </w:tr>
      <w:tr w14:paraId="7E740282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A392A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NFC 设计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A81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LinkForty-NFC扩展方案.docx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9CF0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确定触点载体、UID、绑定、入口 Link、触碰关联和路由规则对象</w:t>
            </w:r>
          </w:p>
        </w:tc>
      </w:tr>
      <w:tr w14:paraId="595413C6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4A18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数据设计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804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银行触点载体管理系统_数据物理模型_V1.2.docx 及相关数据设计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5415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确定核心数据对象、全局事件幂等、关联关系和生命周期</w:t>
            </w:r>
          </w:p>
        </w:tc>
      </w:tr>
      <w:tr w14:paraId="1B34A8ED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304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流程设计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8BBD2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业务流程图、时序图和外部协作流程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24B5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确定请求入口、规则校验、数据操作、输出和异常责任</w:t>
            </w:r>
          </w:p>
        </w:tc>
      </w:tr>
      <w:tr w14:paraId="5D31C385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968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外部接口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CE35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LinkForty API、点击事件和 Webhook 约定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76DB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确定适配层的输入转换、调用结果和失败处理</w:t>
            </w:r>
          </w:p>
        </w:tc>
      </w:tr>
      <w:tr w14:paraId="776B2312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B7A8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代码与页面参考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35A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core/src、ui/src、mobile-sdk-android、mobile-sdk-ios、mcp-server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A1C1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确定技术落点和目录参考，不改变业务模块归属</w:t>
            </w:r>
          </w:p>
        </w:tc>
      </w:tr>
    </w:tbl>
    <w:p w14:paraId="31811633">
      <w:pPr>
        <w:pStyle w:val="3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32"/>
        </w:rPr>
        <w:t>4. 术语定义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561FB0E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60F8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7"/>
              </w:rPr>
              <w:t>术语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E9C5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7"/>
              </w:rPr>
              <w:t>定义</w:t>
            </w:r>
          </w:p>
        </w:tc>
      </w:tr>
      <w:tr w14:paraId="0B5843BC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E8E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触点载体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93B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NFC 触点载体资产及其 UID、批次、入口关联和资产状态。</w:t>
            </w:r>
          </w:p>
        </w:tc>
      </w:tr>
      <w:tr w14:paraId="075E755C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F5D2F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7"/>
              </w:rPr>
              <w:t>入口 Link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12A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写入 NFC/NDEF 的稳定入口链接标识。</w:t>
            </w:r>
          </w:p>
        </w:tc>
      </w:tr>
      <w:tr w14:paraId="485FC61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C2A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目标 Link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F533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LinkForty 承载目标 URL 或深度链接配置的外部资源。</w:t>
            </w:r>
          </w:p>
        </w:tc>
      </w:tr>
      <w:tr w14:paraId="1F0BD404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59D5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目标资源（业务地址）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ECE62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银行业务侧可被路由规则选择的地址对象。</w:t>
            </w:r>
          </w:p>
        </w:tc>
      </w:tr>
      <w:tr w14:paraId="2BF4AD59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26752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路由规则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47E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根据作用域、优先级和有效期选择目标资源（业务地址）的业务规则。</w:t>
            </w:r>
          </w:p>
        </w:tc>
      </w:tr>
      <w:tr w14:paraId="3558A960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5980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路由发布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6C285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将确认后的目标配置提交给 LinkForty 的协作过程。</w:t>
            </w:r>
          </w:p>
        </w:tc>
      </w:tr>
      <w:tr w14:paraId="24A25462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F29F0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点击事件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9AA78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LinkForty 运行时产生的访问事实。</w:t>
            </w:r>
          </w:p>
        </w:tc>
      </w:tr>
      <w:tr w14:paraId="301A361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D5C5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触碰事件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1E4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点击事实关联入口 Link、触点载体资产和绑定快照后的扩展业务记录。</w:t>
            </w:r>
          </w:p>
        </w:tc>
      </w:tr>
      <w:tr w14:paraId="2AB75E5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B8B8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操作审计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580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记录管理员身份、命令、对象、关键变更和结果的追责记录。</w:t>
            </w:r>
          </w:p>
        </w:tc>
      </w:tr>
      <w:tr w14:paraId="5F88C112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592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运行日志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6A50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记录系统运行、异常和基础设施状态的技术记录。</w:t>
            </w:r>
          </w:p>
        </w:tc>
      </w:tr>
      <w:tr w14:paraId="612B9A3A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DA06B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Webhook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1B2E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外部系统向后台发送事件通知的协议机制，不等同于触碰事件本身。</w:t>
            </w:r>
          </w:p>
        </w:tc>
      </w:tr>
    </w:tbl>
    <w:p w14:paraId="5943BAF1">
      <w:pPr>
        <w:pStyle w:val="3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32"/>
        </w:rPr>
        <w:t>5. 功能模块总览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800"/>
        <w:gridCol w:w="3500"/>
        <w:gridCol w:w="1900"/>
        <w:gridCol w:w="1560"/>
      </w:tblGrid>
      <w:tr w14:paraId="3BE56E66">
        <w:trPr>
          <w:tblHeader/>
        </w:trPr>
        <w:tc>
          <w:tcPr>
            <w:tcW w:w="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FEDE4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编号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BF455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模块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1DDA3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业务目标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7EAD3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主要使用者/调用方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1114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状态</w:t>
            </w:r>
          </w:p>
        </w:tc>
      </w:tr>
      <w:tr w14:paraId="7E679EC4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2F7A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M1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54F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后台访问、IAM 与操作审计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F7BE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Casdoor RBAC 接入、JWT 本地验签、IAM 适配投影、银行组织数据范围和操作审计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F680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后台管理员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9DC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MVP 最小范围；Casdoor 为身份/角色/功能权限权威</w:t>
            </w:r>
          </w:p>
        </w:tc>
      </w:tr>
      <w:tr w14:paraId="5CB3A4FE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72508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M2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4E92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机构与客户经理管理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472AC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机构、支行、部门、客户经理主数据和归属关系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65CE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后台管理员、运营人员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E3AD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待开发</w:t>
            </w:r>
            <w:bookmarkStart w:id="0" w:name="_GoBack"/>
            <w:bookmarkEnd w:id="0"/>
          </w:p>
        </w:tc>
      </w:tr>
      <w:tr w14:paraId="468E939A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B17B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M3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C3F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触点载体及载体内容管理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EC0D5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一期NFC触点资产、写入内容、核验和外部同步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291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后台管理员、运营人员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063C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待开发</w:t>
            </w:r>
          </w:p>
        </w:tc>
      </w:tr>
      <w:tr w14:paraId="1C18108A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5CD1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M4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77A66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触点载体绑定生命周期管理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372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触点载体与客户经理的绑定、解绑、转交、有效期和历史快照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BEF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后台管理员、运营人员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0045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待开发</w:t>
            </w:r>
          </w:p>
        </w:tc>
      </w:tr>
      <w:tr w14:paraId="2A1DE2B4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0A4A2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M5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652A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目标资源（业务地址）管理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7F5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目标资源（业务地址）主数据、状态和引用影响检查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B602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后台管理员、运营人员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E31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待开发</w:t>
            </w:r>
          </w:p>
        </w:tc>
      </w:tr>
      <w:tr w14:paraId="31B858AF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968AE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M6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965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路由规则配置与发布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CBA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作用域规则、优先级、有效期、冲突校验和发布意图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659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后台管理员、运营人员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0C29">
            <w:pPr>
              <w:spacing w:before="0" w:after="0" w:line="252" w:lineRule="auto"/>
              <w:jc w:val="left"/>
              <w:rPr>
                <w:rFonts w:hint="eastAsia" w:eastAsia="Arial Unicode MS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  <w:lang w:val="en-US" w:eastAsia="zh-CN"/>
              </w:rPr>
              <w:t>待开发</w:t>
            </w:r>
          </w:p>
        </w:tc>
      </w:tr>
      <w:tr w14:paraId="05975E0B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CBD7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M7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78D7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触碰事件接入与关联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855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Webhook 验签、event_id 全局幂等、点击事实只读关联和事件时点快照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A2A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LinkForty Webhook、后台查询方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04D9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待开发；Java 实现档案为不分区 access_events</w:t>
            </w:r>
          </w:p>
        </w:tc>
      </w:tr>
      <w:tr w14:paraId="0EFF310E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B483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M8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67CD6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统计分析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AAD5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基于已确认数据源计算和查询业务指标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4B8FB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后台查询方、银行业务系统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BFD3">
            <w:pPr>
              <w:spacing w:before="0" w:after="0" w:line="252" w:lineRule="auto"/>
              <w:jc w:val="left"/>
            </w:pPr>
            <w:r>
              <w:rPr>
                <w:rFonts w:hint="eastAsia" w:cs="Arial Unicode MS"/>
                <w:b w:val="0"/>
                <w:color w:val="1F2933"/>
                <w:sz w:val="16"/>
                <w:lang w:val="en-US" w:eastAsia="zh-CN"/>
              </w:rPr>
              <w:t>待开发</w:t>
            </w: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；指标</w:t>
            </w:r>
            <w:r>
              <w:rPr>
                <w:rFonts w:hint="eastAsia" w:cs="Hiragino Sans GB" w:ascii="Hiragino Sans GB" w:hAnsi="Hiragino Sans GB" w:eastAsia="Hiragino Sans GB"/>
                <w:b w:val="0"/>
                <w:color w:val="1F2933"/>
                <w:sz w:val="16"/>
                <w:lang w:val="en-US" w:eastAsia="zh-CN"/>
              </w:rPr>
              <w:t>口径</w:t>
            </w: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和数据来源待确认</w:t>
            </w:r>
          </w:p>
        </w:tc>
      </w:tr>
    </w:tbl>
    <w:p w14:paraId="6B185C8C">
      <w:pPr>
        <w:pStyle w:val="3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32"/>
        </w:rPr>
        <w:t>6. 模块职责与边界</w:t>
      </w:r>
    </w:p>
    <w:p w14:paraId="07A49F8A">
      <w:pPr>
        <w:pStyle w:val="4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26"/>
        </w:rPr>
        <w:t>M1  后台访问、IAM 与操作审计</w:t>
      </w:r>
    </w:p>
    <w:p w14:paraId="762BD303">
      <w:pPr>
        <w:keepNext w:val="0"/>
        <w:spacing w:before="0" w:after="120" w:line="264" w:lineRule="auto"/>
        <w:jc w:val="left"/>
      </w:pPr>
      <w:r>
        <w:t>后台用户通过本地部署的 Casdoor 完成认证并取得 JWT。M1 使用 Casdoor 公钥/JWKS 本地校验签名、issuer、audience、过期时间和 subject，再读取 iam_users 及 IAM 投影完成主体映射、API 权限与银行组织数据范围适配，并为关键命令写入 operation_logs；本系统不保存密码、Token 或密码哈希。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7B0EFD09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91F74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项目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D013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内容</w:t>
            </w:r>
          </w:p>
        </w:tc>
      </w:tr>
      <w:tr w14:paraId="056EF454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A435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状态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F3C5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MVP最小范围；Casdoor 是身份、角色和功能权限的权威 RBAC 服务，本地 IAM 表为适配投影</w:t>
            </w:r>
          </w:p>
        </w:tc>
      </w:tr>
      <w:tr w14:paraId="2FBAA880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4793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负责事项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2A6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Casdoor JWT 接入与本地验签；iam_users主体映射；角色/权限同步投影；外部权限编码与本地API映射；银行组织数据范围适配；关键命令操作审计</w:t>
            </w:r>
          </w:p>
        </w:tc>
      </w:tr>
      <w:tr w14:paraId="45055C38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79028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不负责事项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15C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业务对象状态决定；Casdoor账号、密码和Token存储；LinkForty点击事实；Webhook业务关联；运行日志和基础设施告警</w:t>
            </w:r>
          </w:p>
        </w:tc>
      </w:tr>
      <w:tr w14:paraId="4B807989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C5B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发起者/调用方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500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后台管理员；后台业务模块</w:t>
            </w:r>
          </w:p>
        </w:tc>
      </w:tr>
      <w:tr w14:paraId="6F70D219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9342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输入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5C1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Casdoor JWT；业务命令上下文；subject、issuer、audience与权限上下文</w:t>
            </w:r>
          </w:p>
        </w:tc>
      </w:tr>
      <w:tr w14:paraId="2CC6D868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9A19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业务规则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C87F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校验JWT签名、issuer、audience、过期时间和subject；iam_users停用时拒绝；功能权限以Casdoor授权为权威，本地IAM负责API及组织范围适配；关键命令记录审计</w:t>
            </w:r>
          </w:p>
        </w:tc>
      </w:tr>
      <w:tr w14:paraId="59410648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DA6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读取数据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0A4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iam_users；Casdoor角色/权限投影；iam_permission_apis；iam_user_organizations；iam_user_role_scopes；业务命令上下文</w:t>
            </w:r>
          </w:p>
        </w:tc>
      </w:tr>
      <w:tr w14:paraId="3F67DB29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9C4F6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修改数据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F7BD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IAM同步投影、主体/组织/数据范围适配关系；operation_logs（只追加）；不在本地独立授予Casdoor角色或功能权限</w:t>
            </w:r>
          </w:p>
        </w:tc>
      </w:tr>
      <w:tr w14:paraId="35711539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1368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外部调用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564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Casdoor登录与JWKS/公钥获取；权限同步适配；银行日志平台（仅运行日志或归档，接口待确认）</w:t>
            </w:r>
          </w:p>
        </w:tc>
      </w:tr>
      <w:tr w14:paraId="51E348C0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BFF1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输出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132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认证上下文；权限判定结果；IAM维护结果；审计记录写入结果</w:t>
            </w:r>
          </w:p>
        </w:tc>
      </w:tr>
      <w:tr w14:paraId="467DE682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832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失败处理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27B9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JWT验签或声明校验失败、本地用户停用、投影缺失或权限不足时拒绝访问；审计写入失败按安全要求阻断或补偿</w:t>
            </w:r>
          </w:p>
        </w:tc>
      </w:tr>
      <w:tr w14:paraId="6A3B5934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53E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权限边界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FEBD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Casdoor决定身份、角色和功能权限；本地iam_permission_apis映射HTTP接口，iam_user_role_scopes适配银行组织数据范围；前端展示不替代后端校验。</w:t>
            </w:r>
          </w:p>
        </w:tc>
      </w:tr>
      <w:tr w14:paraId="77828618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7405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依赖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4D9D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本地部署Casdoor；JWKS/公钥；IAM同步投影；组织数据范围；日志与监控</w:t>
            </w:r>
          </w:p>
        </w:tc>
      </w:tr>
      <w:tr w14:paraId="7FE82AA3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707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设计来源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28B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银行后台需求、审计要求、后台页面设计</w:t>
            </w:r>
          </w:p>
        </w:tc>
      </w:tr>
      <w:tr w14:paraId="4D1513C5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C7E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接口范围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B3D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Casdoor登录/回调或JWT校验；IAM投影同步与查询；组织数据范围适配；审计查询和导出</w:t>
            </w:r>
          </w:p>
        </w:tc>
      </w:tr>
      <w:tr w14:paraId="38417889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2C5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测试范围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D00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JWT签名、issuer、audience、过期时间和subject；停用用户；投影一致性；API权限和数据范围越权；关键命令审计</w:t>
            </w:r>
          </w:p>
        </w:tc>
      </w:tr>
    </w:tbl>
    <w:p w14:paraId="13B3CA78">
      <w:pPr>
        <w:pStyle w:val="4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26"/>
        </w:rPr>
        <w:t>M2  机构与客户经理管理</w:t>
      </w:r>
    </w:p>
    <w:p w14:paraId="364B6BC1">
      <w:pPr>
        <w:keepNext w:val="0"/>
        <w:spacing w:before="0" w:after="120" w:line="264" w:lineRule="auto"/>
        <w:jc w:val="left"/>
      </w:pPr>
      <w:r>
        <w:t>后台管理员提交机构或客户经理维护请求，M2维护organization_units与customer_managers，校验组织树、编码唯一性、直接归属关系和启停前置条件，并返回最新状态。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7806CCDC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E283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项目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F5C2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内容</w:t>
            </w:r>
          </w:p>
        </w:tc>
      </w:tr>
      <w:tr w14:paraId="6DED432C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38A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状态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8A8E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待开发</w:t>
            </w:r>
          </w:p>
        </w:tc>
      </w:tr>
      <w:tr w14:paraId="5D0FD144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98E6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负责事项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D1A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organization_units组织树；customer_managers客户经理主数据；客户经理直接所属组织；可选iam_user_id映射；机构和客户经理启停；客户经理及其触点载体关联查询</w:t>
            </w:r>
          </w:p>
        </w:tc>
      </w:tr>
      <w:tr w14:paraId="242F06B3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2E55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不负责事项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E878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触点载体资产状态；绑定历史和绑定命令；目标资源（业务地址）和路由规则；点击和触碰事件</w:t>
            </w:r>
          </w:p>
        </w:tc>
      </w:tr>
      <w:tr w14:paraId="61EDE86D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6FB0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发起者/调用方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120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后台管理员；运营人员</w:t>
            </w:r>
          </w:p>
        </w:tc>
      </w:tr>
      <w:tr w14:paraId="3FA0D4B5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067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输入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FBC2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org_type、parent_org_id、org_code；客户经理编码、资料和org_id；可选iam_user_id；启停命令；查询条件</w:t>
            </w:r>
          </w:p>
        </w:tc>
      </w:tr>
      <w:tr w14:paraId="10D154B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9E5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业务规则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376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org_code全局唯一；组织树防环；停用前检查启用中的子组织和客户经理；客户经理只保存直接所属组织，支行从组织树向上解析；停用客户经理不直接改变触点载体资产状态，绑定处理由M4执行</w:t>
            </w:r>
          </w:p>
        </w:tc>
      </w:tr>
      <w:tr w14:paraId="40D45AC3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AC3E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读取数据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D898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organization_units；customer_managers；touchpoint_manager_assignments关联只读视图</w:t>
            </w:r>
          </w:p>
        </w:tc>
      </w:tr>
      <w:tr w14:paraId="1B764BF8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9003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修改数据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8111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organization_units；customer_managers；客户经理组织归属及可选iam_user_id映射</w:t>
            </w:r>
          </w:p>
        </w:tc>
      </w:tr>
      <w:tr w14:paraId="38904729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99388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外部调用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AA11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权限组件</w:t>
            </w:r>
          </w:p>
        </w:tc>
      </w:tr>
      <w:tr w14:paraId="34D59E2F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CB8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输出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3C0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组织和客户经理记录；查询列表；启停结果；关联触点载体只读视图</w:t>
            </w:r>
          </w:p>
        </w:tc>
      </w:tr>
      <w:tr w14:paraId="0626F75B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D15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失败处理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6BFB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层级或编码冲突返回校验错误；存在有效关联时返回阻断原因；批量操作返回逐条结果</w:t>
            </w:r>
          </w:p>
        </w:tc>
      </w:tr>
      <w:tr w14:paraId="4060BC2E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E1E2B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权限边界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BBBB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新增、修改和启停权限由管理员或运营角色控制；机构数据范围待确认。</w:t>
            </w:r>
          </w:p>
        </w:tc>
      </w:tr>
      <w:tr w14:paraId="3F1D198D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65D5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依赖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C38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M1；权限校验；M4只读查询</w:t>
            </w:r>
          </w:p>
        </w:tc>
      </w:tr>
      <w:tr w14:paraId="50FD4ABA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60B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设计来源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9167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机构与客户经理需求、银行触点载体系统数据物理模型</w:t>
            </w:r>
          </w:p>
        </w:tc>
      </w:tr>
      <w:tr w14:paraId="3EF5A3A0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5D73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接口范围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950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organization_units/customer_managers新增、修改、查询、启停；客户经理组织归属和关联触点载体查询</w:t>
            </w:r>
          </w:p>
        </w:tc>
      </w:tr>
      <w:tr w14:paraId="7020B0A0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241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测试范围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3DB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层级校验；编码唯一性；停用前置检查；数据范围过滤；关联查询</w:t>
            </w:r>
          </w:p>
        </w:tc>
      </w:tr>
    </w:tbl>
    <w:p w14:paraId="697B3F30">
      <w:pPr>
        <w:pStyle w:val="4"/>
        <w:keepNext/>
      </w:pPr>
      <w:r>
        <w:t>M3 触点载体及载体内容管理</w:t>
      </w:r>
    </w:p>
    <w:p w14:paraId="0C0426FD">
      <w:pPr>
        <w:keepNext w:val="0"/>
        <w:spacing w:before="0" w:after="120" w:line="264" w:lineRule="auto"/>
        <w:jc w:val="left"/>
      </w:pPr>
      <w:r>
        <w:rPr>
          <w:rFonts w:hint="eastAsia" w:ascii="Arial Unicode MS" w:hAnsi="Arial Unicode MS" w:eastAsia="Arial Unicode MS" w:cs="Arial Unicode MS"/>
          <w:b w:val="0"/>
          <w:i w:val="0"/>
          <w:color w:val="1F2933"/>
          <w:sz w:val="21"/>
        </w:rPr>
        <w:t>后台管理员创建或导入触点载体资产，模块校验触点载体编号和 UID，必要时通过外部适配能力创建固定入口，并保存触点载体资产与入口标识。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79F959EA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06E74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项目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90811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内容</w:t>
            </w:r>
          </w:p>
        </w:tc>
      </w:tr>
      <w:tr w14:paraId="6F3B200C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7969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状态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34AE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待开发；一期仅支持NFC触点载体</w:t>
            </w:r>
          </w:p>
        </w:tc>
      </w:tr>
      <w:tr w14:paraId="0B528153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E50AC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负责事项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9B9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touchpoint_assets资产编码、载体标识、组织归属、投放位置和供应商批次；touchpoint_payloads实际写入内容；载体导入、详情、列表、写入核验和外部同步；asset_status与config_status维护</w:t>
            </w:r>
          </w:p>
        </w:tc>
      </w:tr>
      <w:tr w14:paraId="3F1DE3C2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B53D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不负责事项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2EA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客户经理绑定历史；target_resources选择；routing_rules决策；直接读写LinkForty物理表</w:t>
            </w:r>
          </w:p>
        </w:tc>
      </w:tr>
      <w:tr w14:paraId="4A949BD5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ED8B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发起者/调用方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C57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后台管理员；运营人员</w:t>
            </w:r>
          </w:p>
        </w:tc>
      </w:tr>
      <w:tr w14:paraId="038A18BF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A1120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输入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C0B6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asset_code、asset_type、carrier_uid、owner_org_id、location_code、door_no、supplier_batch_no；payload_value、payload_type和provider_type；批量导入文件；状态命令</w:t>
            </w:r>
          </w:p>
        </w:tc>
      </w:tr>
      <w:tr w14:paraId="083D98A0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F538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业务规则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0BE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asset_code唯一；一期asset_type=1；asset_status使用库存/启用/停用/永久作废，config_status独立表示待配置/正常/异常；payload_type=1时short_code必填；载体状态不代替绑定状态</w:t>
            </w:r>
          </w:p>
        </w:tc>
      </w:tr>
      <w:tr w14:paraId="6D2424E6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C8D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读取数据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3F5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touchpoint_assets；touchpoint_payloads；本地保存的LinkForty外部逻辑引用及API查询结果；供应商批次和核验状态</w:t>
            </w:r>
          </w:p>
        </w:tc>
      </w:tr>
      <w:tr w14:paraId="239A4022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25F6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修改数据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4417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touchpoint_assets；touchpoint_payloads；asset_status、config_status、verification_status；仅入口Link/短码/载体内容登记或核验变化时更新external_sync_status</w:t>
            </w:r>
          </w:p>
        </w:tc>
      </w:tr>
      <w:tr w14:paraId="2AB9ACCA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661E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外部调用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74FE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LinkForty API适配能力；实体NFC/NDEF读写与核验协作</w:t>
            </w:r>
          </w:p>
        </w:tc>
      </w:tr>
      <w:tr w14:paraId="4BD386B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2E6CB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输出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E2B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触点载体资产；实际写入内容；核验结果；Payload外部登记/同步状态；批量导入逐条结果</w:t>
            </w:r>
          </w:p>
        </w:tc>
      </w:tr>
      <w:tr w14:paraId="518CAD3C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77735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失败处理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01E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重复asset_code或carrier_uid返回逐条错误；写入核验不一致进入异常状态；LinkForty同步失败记录external_sync_message并进入补偿流程</w:t>
            </w:r>
          </w:p>
        </w:tc>
      </w:tr>
      <w:tr w14:paraId="55248A9C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7178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权限边界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BBE3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触点载体资产维护权限由管理员或运营角色控制；机构数据范围待确认。</w:t>
            </w:r>
          </w:p>
        </w:tc>
      </w:tr>
      <w:tr w14:paraId="775162B6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8B8B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依赖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A73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M1；权限校验；LinkForty 适配能力</w:t>
            </w:r>
          </w:p>
        </w:tc>
      </w:tr>
      <w:tr w14:paraId="5EE78436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79B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设计来源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BDC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NFC扩展方案、银行触点载体系统数据物理模型</w:t>
            </w:r>
          </w:p>
        </w:tc>
      </w:tr>
      <w:tr w14:paraId="360B98BA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0048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接口范围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FDD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touchpoint_assets创建、导入、详情、查询、启停和作废；touchpoint_payloads登记、核验、同步状态查询</w:t>
            </w:r>
          </w:p>
        </w:tc>
      </w:tr>
      <w:tr w14:paraId="4283269D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2190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测试范围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2B13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asset_code/carrier_uid唯一性；批量导入逐条结果；asset_status/config_status分离；写入核验不一致；LinkForty同步失败；重复命令幂等</w:t>
            </w:r>
          </w:p>
        </w:tc>
      </w:tr>
    </w:tbl>
    <w:p w14:paraId="3CE119CF">
      <w:pPr>
        <w:pStyle w:val="4"/>
        <w:keepNext/>
      </w:pPr>
      <w:r>
        <w:t>M4 触点载体—客户经理绑定生命周期管理</w:t>
      </w:r>
    </w:p>
    <w:p w14:paraId="53C6B02A">
      <w:pPr>
        <w:keepNext w:val="0"/>
        <w:spacing w:before="0" w:after="120" w:line="264" w:lineRule="auto"/>
        <w:jc w:val="left"/>
      </w:pPr>
      <w:r>
        <w:t>管理员提交触点载体绑定、解绑或转交请求，M4校验触点载体、客户经理和时间区间，写入touchpoint_manager_assignments历史记录及组织/人员快照。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2F18003E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58DC7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项目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EB1B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内容</w:t>
            </w:r>
          </w:p>
        </w:tc>
      </w:tr>
      <w:tr w14:paraId="63C9B600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DD69E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状态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444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待开发</w:t>
            </w:r>
          </w:p>
        </w:tc>
      </w:tr>
      <w:tr w14:paraId="172DC17C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E52F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负责事项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CA6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touchpoint_manager_assignments绑定、解绑和转交；effective_from/effective_to生效区间；组织、支行和客户经理名称快照；当前绑定唯一性；如保留数量限制则作为应用规则，不新增物理字段</w:t>
            </w:r>
          </w:p>
        </w:tc>
      </w:tr>
      <w:tr w14:paraId="3685912B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A8C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不负责事项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698D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触点载体资产状态；机构主数据维护；目标资源（业务地址）维护；LinkForty 目标配置</w:t>
            </w:r>
          </w:p>
        </w:tc>
      </w:tr>
      <w:tr w14:paraId="2D9E629D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044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发起者/调用方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BC8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后台管理员；运营人员</w:t>
            </w:r>
          </w:p>
        </w:tc>
      </w:tr>
      <w:tr w14:paraId="2C0CBA86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920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输入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804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asset_id；manager_id；effective_from/effective_to；命令类型；批量项</w:t>
            </w:r>
          </w:p>
        </w:tc>
      </w:tr>
      <w:tr w14:paraId="391289E3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F632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业务规则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95EF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校验触点载体和客户经理状态；校验有效期重叠和当前绑定唯一性；转交必须追加历史并保存快照；预约生效通过future effective_from记录和幂等任务处理，不建立独立任务表</w:t>
            </w:r>
          </w:p>
        </w:tc>
      </w:tr>
      <w:tr w14:paraId="7CF784EE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3EE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读取数据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61D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touchpoint_assets；customer_managers；touchpoint_manager_assignments当前与历史记录</w:t>
            </w:r>
          </w:p>
        </w:tc>
      </w:tr>
      <w:tr w14:paraId="7775EA2B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3DBEE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修改数据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5CA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touchpoint_manager_assignments；assignment_status；org_name_snapshot、branch_name_snapshot、manager_name_snapshot</w:t>
            </w:r>
          </w:p>
        </w:tc>
      </w:tr>
      <w:tr w14:paraId="603577E8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D568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外部调用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F2F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权限组件</w:t>
            </w:r>
          </w:p>
        </w:tc>
      </w:tr>
      <w:tr w14:paraId="65F56844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A5D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输出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D1A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绑定ID；生效状态；组织/支行/经理快照；批量逐条结果</w:t>
            </w:r>
          </w:p>
        </w:tc>
      </w:tr>
      <w:tr w14:paraId="286F7FD3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4AF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失败处理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013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规则冲突不写入；预约生效处理失败记录operation_logs并进入补偿流程；批量事务策略按业务确认</w:t>
            </w:r>
          </w:p>
        </w:tc>
      </w:tr>
      <w:tr w14:paraId="4DDF63B0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235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权限边界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6BA7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绑定、解绑和转交属于业务命令，须后端校验角色和机构数据范围。</w:t>
            </w:r>
          </w:p>
        </w:tc>
      </w:tr>
      <w:tr w14:paraId="6D98EEEF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52D0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依赖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D16E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M1；M2只读organization_units/customer_managers；M3只读touchpoint_assets</w:t>
            </w:r>
          </w:p>
        </w:tc>
      </w:tr>
      <w:tr w14:paraId="1911C5B6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5023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设计来源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3F60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NFC绑定方案、touchpoint_manager_assignments物理模型</w:t>
            </w:r>
          </w:p>
        </w:tc>
      </w:tr>
      <w:tr w14:paraId="7EBAD36A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DD7C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接口范围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9C55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touchpoint_manager_assignments绑定、解绑、转交；批量处理；当前绑定和历史查询</w:t>
            </w:r>
          </w:p>
        </w:tc>
      </w:tr>
      <w:tr w14:paraId="481BD141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13E45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测试范围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BDF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唯一性；有效期重叠；转交快照；预约生效；数量限制；批量部分失败</w:t>
            </w:r>
          </w:p>
        </w:tc>
      </w:tr>
    </w:tbl>
    <w:p w14:paraId="14250AA9">
      <w:pPr>
        <w:pStyle w:val="4"/>
        <w:keepNext/>
      </w:pPr>
      <w:r>
        <w:t>M5 目标资源管理（业务地址）</w:t>
      </w:r>
    </w:p>
    <w:p w14:paraId="23C04437">
      <w:pPr>
        <w:keepNext w:val="0"/>
        <w:spacing w:before="0" w:after="120" w:line="264" w:lineRule="auto"/>
        <w:jc w:val="left"/>
      </w:pPr>
      <w:r>
        <w:t>后台管理员维护target_resources目标资源，M5校验资源编码、资源类型、link_id/resource_value二选一和组织范围，计算引用影响并返回停用前检查结果。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2163E241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F6DB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项目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9BD0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内容</w:t>
            </w:r>
          </w:p>
        </w:tc>
      </w:tr>
      <w:tr w14:paraId="1B618B5E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E933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状态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C3D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待开发</w:t>
            </w:r>
          </w:p>
        </w:tc>
      </w:tr>
      <w:tr w14:paraId="713B5DBB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7F6C9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负责事项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34E8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target_resources资源编码、名称、类型、状态、组织归属；link_id与resource_value二选一；共享引用；停用前影响检查</w:t>
            </w:r>
          </w:p>
        </w:tc>
      </w:tr>
      <w:tr w14:paraId="6C389A34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8C50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不负责事项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5021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路由优先级和规则匹配；触点载体绑定；LinkForty物理表直接写入；每次点击运行时跳转</w:t>
            </w:r>
          </w:p>
        </w:tc>
      </w:tr>
      <w:tr w14:paraId="57A23098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66A5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发起者/调用方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BD2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后台管理员；运营人员</w:t>
            </w:r>
          </w:p>
        </w:tc>
      </w:tr>
      <w:tr w14:paraId="07E30ED1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2B6B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输入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94EE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resource_code、resource_name、resource_type、link_id或resource_value、owner_org_id；状态命令；引用查询条件</w:t>
            </w:r>
          </w:p>
        </w:tc>
      </w:tr>
      <w:tr w14:paraId="040782AD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10D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业务规则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40E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resource_code唯一；link_id与resource_value严格二选一；公共资源owner_org_id为空；被routing_rules或外部链接关联时停用必须提示影响范围；本地状态不代替LinkForty外部状态</w:t>
            </w:r>
          </w:p>
        </w:tc>
      </w:tr>
      <w:tr w14:paraId="467F9DB9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A906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读取数据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62E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target_resources；routing_rules引用；touchpoint_payloads和发布关联</w:t>
            </w:r>
          </w:p>
        </w:tc>
      </w:tr>
      <w:tr w14:paraId="4C0A31BE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37B9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修改数据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AB5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target_resources；资源状态；LinkForty链接逻辑引用</w:t>
            </w:r>
          </w:p>
        </w:tc>
      </w:tr>
      <w:tr w14:paraId="6690EE68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D49F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外部调用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BAE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LinkForty API适配能力（只通过API，不直接写外部表）</w:t>
            </w:r>
          </w:p>
        </w:tc>
      </w:tr>
      <w:tr w14:paraId="62344305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2A1B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输出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8B64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目标资源记录；引用数量；影响范围；启停结果</w:t>
            </w:r>
          </w:p>
        </w:tc>
      </w:tr>
      <w:tr w14:paraId="51CE6720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6E9E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失败处理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12C3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resource_code或资源类型校验失败返回错误；存在有效引用时阻止停用并返回影响范围；LinkForty资源不存在返回关联错误</w:t>
            </w:r>
          </w:p>
        </w:tc>
      </w:tr>
      <w:tr w14:paraId="6B3D9288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CD68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权限边界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57B9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目标资源维护和停用须按IAM功能权限及owner_org_id数据范围校验；公共资源普通机构角色只读。</w:t>
            </w:r>
          </w:p>
        </w:tc>
      </w:tr>
      <w:tr w14:paraId="12566D79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4CE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依赖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A46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M1；M6 routing_rules；LinkForty适配能力</w:t>
            </w:r>
          </w:p>
        </w:tc>
      </w:tr>
      <w:tr w14:paraId="3632C3D2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0A7C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设计来源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CD5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目标资源需求、target_resources物理模型</w:t>
            </w:r>
          </w:p>
        </w:tc>
      </w:tr>
      <w:tr w14:paraId="33503405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A8A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接口范围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F0A4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target_resources新增、修改、查询、启停；引用查询和影响预览</w:t>
            </w:r>
          </w:p>
        </w:tc>
      </w:tr>
      <w:tr w14:paraId="3AAFC09A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422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测试范围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D5F5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resource_code唯一性；link_id/resource_value互斥校验；公共与组织资源范围；引用影响检查；停用阻断；外部资源关联失败</w:t>
            </w:r>
          </w:p>
        </w:tc>
      </w:tr>
    </w:tbl>
    <w:p w14:paraId="4A68B851">
      <w:pPr>
        <w:pStyle w:val="4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26"/>
        </w:rPr>
        <w:t>M6  路由规则配置与发布</w:t>
      </w:r>
    </w:p>
    <w:p w14:paraId="1C6618B3">
      <w:pPr>
        <w:keepNext w:val="0"/>
        <w:spacing w:before="0" w:after="120" w:line="264" w:lineRule="auto"/>
        <w:jc w:val="left"/>
      </w:pPr>
      <w:r>
        <w:t>管理员提交scope_type、目标资源、优先级和有效期配置，M6校验routing_rules冲突、生成发布意图并通过LinkForty适配能力发布；MVP运行时跳转由LinkForty负责。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6F16B5E5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1D2B5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项目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78D6F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内容</w:t>
            </w:r>
          </w:p>
        </w:tc>
      </w:tr>
      <w:tr w14:paraId="7A579D4C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579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状态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4190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待开发；MVP采用发布到LinkForty的配置模式，运行时实时匹配作为后续扩展</w:t>
            </w:r>
          </w:p>
        </w:tc>
      </w:tr>
      <w:tr w14:paraId="2CAE22C2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B46D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负责事项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8913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CARRIER、MANAGER、BRANCH、GLOBAL作用域规则；优先级和有效期；冲突校验；规则启停；version_no、publish_status、last_published_at、publish_message；发布确认和结果记录</w:t>
            </w:r>
          </w:p>
        </w:tc>
      </w:tr>
      <w:tr w14:paraId="54E088F4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9FE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不负责事项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3AE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触点载体资产维护；客户经理主数据；LinkForty 表直接写入；每次点击请求的底层跳转</w:t>
            </w:r>
          </w:p>
        </w:tc>
      </w:tr>
      <w:tr w14:paraId="093B399E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1620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发起者/调用方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0AC4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后台管理员；运营人员</w:t>
            </w:r>
          </w:p>
        </w:tc>
      </w:tr>
      <w:tr w14:paraId="7B034DB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2EC6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输入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9CA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scope_type及对应carrier_id/customer_manager_id/branch_id；target_resource_id；priority、effective_from、effective_to；发布确认</w:t>
            </w:r>
          </w:p>
        </w:tc>
      </w:tr>
      <w:tr w14:paraId="2BC4F00A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1300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业务规则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01CE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scope_type与对象严格对应；有效区间不得重叠；匹配顺序为CARRIER &gt; MANAGER &gt; BRANCH &gt; GLOBAL；M6发布状态独立于M3 touchpoint_payloads.external_sync_status</w:t>
            </w:r>
          </w:p>
        </w:tc>
      </w:tr>
      <w:tr w14:paraId="5EA982A2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2CB5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读取数据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7C7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target_resources；touchpoint_assets；touchpoint_manager_assignments；routing_rules</w:t>
            </w:r>
          </w:p>
        </w:tc>
      </w:tr>
      <w:tr w14:paraId="131FF18F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FEA6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修改数据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74B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routing_rules；publish_status；version_no；last_published_at；publish_message</w:t>
            </w:r>
          </w:p>
        </w:tc>
      </w:tr>
      <w:tr w14:paraId="49BB7CB9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BB3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外部调用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4C68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LinkForty 目标配置 API；缓存清理或复核接口（待确认）</w:t>
            </w:r>
          </w:p>
        </w:tc>
      </w:tr>
      <w:tr w14:paraId="12F3F1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C01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输出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825B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规则草稿；影响范围；发布意图；publish_status及外部发布结果</w:t>
            </w:r>
          </w:p>
        </w:tc>
      </w:tr>
      <w:tr w14:paraId="09FF9722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E49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失败处理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BD5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规则冲突不生成发布意图；LinkForty发布失败更新routing_rules.publish_status/publish_message并记录operation_logs；不以Payload同步状态代替路由发布状态</w:t>
            </w:r>
          </w:p>
        </w:tc>
      </w:tr>
      <w:tr w14:paraId="412F66D4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239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权限边界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B5A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规则编辑、启停和发布可分离授权；按iam_user_role_scopes校验数据范围；发布确认须记录operation_logs。</w:t>
            </w:r>
          </w:p>
        </w:tc>
      </w:tr>
      <w:tr w14:paraId="108EDD31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C552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依赖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FC39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M1；M3只读touchpoint_assets；M4只读touchpoint_manager_assignments；M5 target_resources；LinkForty适配能力</w:t>
            </w:r>
          </w:p>
        </w:tc>
      </w:tr>
      <w:tr w14:paraId="044EF1AB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6D0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设计来源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0AE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路由规则方案、路由流程图、routing_rules物理模型</w:t>
            </w:r>
          </w:p>
        </w:tc>
      </w:tr>
      <w:tr w14:paraId="6DBE313B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F39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接口范围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F06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routing_rules新增、修改、启停；影响预览；发布确认和publish_status查询</w:t>
            </w:r>
          </w:p>
        </w:tc>
      </w:tr>
      <w:tr w14:paraId="07DE5FF4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556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测试范围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02A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scope_type对象约束；匹配顺序；优先级和有效期冲突；version_no及发布幂等；外部失败补偿；M3/M6状态隔离</w:t>
            </w:r>
          </w:p>
        </w:tc>
      </w:tr>
    </w:tbl>
    <w:p w14:paraId="70689694">
      <w:pPr>
        <w:pStyle w:val="4"/>
        <w:keepNext/>
      </w:pPr>
      <w:r>
        <w:t>M7 访问事件接入与关联</w:t>
      </w:r>
    </w:p>
    <w:p w14:paraId="49541622">
      <w:pPr>
        <w:keepNext w:val="0"/>
        <w:spacing w:before="0" w:after="120" w:line="264" w:lineRule="auto"/>
        <w:jc w:val="left"/>
      </w:pPr>
      <w:r>
        <w:t>LinkForty 发送 Webhook 后，M7 验签并以 event_id 执行全局幂等，通过同库只读 links/click_events 或查询 API 获取点击事实，再经 touchpoint_payloads 反查触点载体，按事件时间关联绑定、路由和目标快照，写入不分区的 access_events。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030888FE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502B7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项目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4712F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内容</w:t>
            </w:r>
          </w:p>
        </w:tc>
      </w:tr>
      <w:tr w14:paraId="6E648CE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6B9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状态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C8D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待开发；event_id 为全局唯一幂等键；Java实现档案采用不分区access_events</w:t>
            </w:r>
          </w:p>
        </w:tc>
      </w:tr>
      <w:tr w14:paraId="188428C3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FF9C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负责事项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6AAD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Webhook接收、验签和event_id全局幂等；点击事实与touchpoint_payloads关联；事件时点绑定/路由/目标快照；access_events写入、重试、查询和导出</w:t>
            </w:r>
          </w:p>
        </w:tc>
      </w:tr>
      <w:tr w14:paraId="3FAF5C10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516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不负责事项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77A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生成LinkForty点击事实；直接决定运行时跳转目标；计算经营统计指标；替代operation_logs</w:t>
            </w:r>
          </w:p>
        </w:tc>
      </w:tr>
      <w:tr w14:paraId="7BA85FF2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29F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发起者/调用方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0AD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LinkForty Webhook；后台触碰查询方</w:t>
            </w:r>
          </w:p>
        </w:tc>
      </w:tr>
      <w:tr w14:paraId="722B65F4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7F6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输入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6F9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Webhook原始事件体、签名、event_id、click_id、事件时间；查询和导出条件</w:t>
            </w:r>
          </w:p>
        </w:tc>
      </w:tr>
      <w:tr w14:paraId="69D5CC9F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850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业务规则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BE5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签名、格式和event_id必须校验；仅event_id建立全局唯一约束；click_id不唯一；重复event_id返回幂等成功；相同click_id不同event_id允许保存；快照按事件时间选择</w:t>
            </w:r>
          </w:p>
        </w:tc>
      </w:tr>
      <w:tr w14:paraId="5666784B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AED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读取数据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6E0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同库只读LinkForty.links/click_events（必要字段）或点击查询API；touchpoint_payloads；touchpoint_assets；touchpoint_manager_assignments；routing_rules；target_resources</w:t>
            </w:r>
          </w:p>
        </w:tc>
      </w:tr>
      <w:tr w14:paraId="66CEA791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1E5E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修改数据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A85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仅修改本系统access_events及resolution_status、resolution_reason、resolved_at；不修改LinkForty表</w:t>
            </w:r>
          </w:p>
        </w:tc>
      </w:tr>
      <w:tr w14:paraId="6B45A54A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B5A7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外部调用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DCB7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LinkForty Webhook；点击查询API；同库只读指定LinkForty表；银行日志平台（运行日志或归档待确认）</w:t>
            </w:r>
          </w:p>
        </w:tc>
      </w:tr>
      <w:tr w14:paraId="2C1693FA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17CE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输出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FD49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接收确认；access_events记录ID；关联或解析失败原因；查询列表和导出文件</w:t>
            </w:r>
          </w:p>
        </w:tc>
      </w:tr>
      <w:tr w14:paraId="278CBB9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3B5B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失败处理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DCD4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验签失败或缺失event_id拒绝；重复event_id返回幂等成功；关联失败记录状态；点击事实暂不可读时重试或进入最终失败</w:t>
            </w:r>
          </w:p>
        </w:tc>
      </w:tr>
      <w:tr w14:paraId="6E6B0594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747F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权限边界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A49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Webhook 由系统入口接收；触碰查询和导出须校验角色、机构和触点载体数据范围。</w:t>
            </w:r>
          </w:p>
        </w:tc>
      </w:tr>
      <w:tr w14:paraId="1A149E71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19E58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依赖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5C4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M1；M3只读触点载体；M4只读绑定；LinkForty 点击事件</w:t>
            </w:r>
          </w:p>
        </w:tc>
      </w:tr>
      <w:tr w14:paraId="5E122A7E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D720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设计来源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EA5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Webhook 流程设计、触碰事件模型</w:t>
            </w:r>
          </w:p>
        </w:tc>
      </w:tr>
      <w:tr w14:paraId="14CE233B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14FE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接口范围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16A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Webhook接收；access_events查询、详情和导出；解析状态和重试查询</w:t>
            </w:r>
          </w:p>
        </w:tc>
      </w:tr>
      <w:tr w14:paraId="4BF463E9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59DF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测试范围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C465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验签；缺失event_id；并发重复event_id；相同click_id不同event_id；只读权限；事件时间快照；解析失败重试；导出审计</w:t>
            </w:r>
          </w:p>
        </w:tc>
      </w:tr>
    </w:tbl>
    <w:p w14:paraId="76E358BA">
      <w:pPr>
        <w:pStyle w:val="4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26"/>
        </w:rPr>
        <w:t>M8  统计分析</w:t>
      </w:r>
    </w:p>
    <w:p w14:paraId="07DFFAFC">
      <w:pPr>
        <w:keepNext w:val="0"/>
        <w:spacing w:before="0" w:after="120" w:line="264" w:lineRule="auto"/>
        <w:jc w:val="left"/>
      </w:pPr>
      <w:r>
        <w:t>查询方提交指标和范围条件，M8 使用受限数据库账号同库只读 LinkForty 事件表和 access_events，按源表时间字段、机器人排除和权限范围计算指标；业务办理量不纳入 MVP 正式验收。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1063C4EC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792F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项目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C1F6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内容</w:t>
            </w:r>
          </w:p>
        </w:tc>
      </w:tr>
      <w:tr w14:paraId="326855BA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9E7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状态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79A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规划项；一期仅统计现有LinkForty事件和access_events，业务办理量为外部扩展，不纳入MVP正式验收</w:t>
            </w:r>
          </w:p>
        </w:tc>
      </w:tr>
      <w:tr w14:paraId="7810C33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74A54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负责事项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F91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点击数（click_events.clicked_at）；访问数（access_events.received_at）；安装数（install_events.installed_at）；App内事件数（in_app_events.event_timestamp）；时间、组织、目标资源、触点载体和客户经理维度；机器人排除、去重和导出</w:t>
            </w:r>
          </w:p>
        </w:tc>
      </w:tr>
      <w:tr w14:paraId="1B16167E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0D20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不负责事项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587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生成原始点击事件；写入access_events；决定路由规则；代替银行业务系统提供办理量和金额；不把模拟数据作为正式结果</w:t>
            </w:r>
          </w:p>
        </w:tc>
      </w:tr>
      <w:tr w14:paraId="30690C1A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32E9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发起者/调用方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8180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后台查询方；运营人员；银行业务系统回传（接口待确认）</w:t>
            </w:r>
          </w:p>
        </w:tc>
      </w:tr>
      <w:tr w14:paraId="0095AE8C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EE8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输入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D2C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时间范围、组织、target_resources、touchpoint_assets、客户经理；指标、维度和导出条件</w:t>
            </w:r>
          </w:p>
        </w:tc>
      </w:tr>
      <w:tr w14:paraId="46733DA8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2341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业务规则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070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每个指标绑定明确数据源和时间字段；click_events默认排除is_bot=true；统计计算只读原始事件；业务办理量需银行系统接口确认后另行纳入</w:t>
            </w:r>
          </w:p>
        </w:tc>
      </w:tr>
      <w:tr w14:paraId="7168C203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FBE2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读取数据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B1B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同库只读LinkForty.click_events、device_fingerprints、install_events、in_app_events及必要Link字段；本系统access_events；银行业务回传仅作后续扩展</w:t>
            </w:r>
          </w:p>
        </w:tc>
      </w:tr>
      <w:tr w14:paraId="1EE9B34E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2AF4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修改数据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0103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MVP不新增统计结果核心表；导出过程由基础设施处理，操作审计由M1记录</w:t>
            </w:r>
          </w:p>
        </w:tc>
      </w:tr>
      <w:tr w14:paraId="05C55846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15CB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外部调用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BCB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LinkForty查询API或指定表同库只读；银行业务系统（业务办理量后续扩展）</w:t>
            </w:r>
          </w:p>
        </w:tc>
      </w:tr>
      <w:tr w14:paraId="71946CCF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3CCF2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输出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AC8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趋势、分布、排行和转化结果；受权限控制的导出文件</w:t>
            </w:r>
          </w:p>
        </w:tc>
      </w:tr>
      <w:tr w14:paraId="35B534DD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840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失败处理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9204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数据源不可用返回数据源错误；未确认的业务办理量不进入正式指标；导出失败返回错误并记录操作审计</w:t>
            </w:r>
          </w:p>
        </w:tc>
      </w:tr>
      <w:tr w14:paraId="711A7193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85A2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权限边界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D7C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统计查询和导出按IAM功能权限、机构数据范围和指标范围校验；导出必须记录operation_logs。</w:t>
            </w:r>
          </w:p>
        </w:tc>
      </w:tr>
      <w:tr w14:paraId="7121022B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5342E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依赖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8BE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M1；M2组织数据；M3触点载体；M4绑定；M5地址；M7触碰事件；银行业务系统</w:t>
            </w:r>
          </w:p>
        </w:tc>
      </w:tr>
      <w:tr w14:paraId="05B61F8A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D6A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设计来源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43F2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统计指标设计、LinkForty analytics 参考、银行业务回传需求</w:t>
            </w:r>
          </w:p>
        </w:tc>
      </w:tr>
      <w:tr w14:paraId="224762AF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6F1E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接口范围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2077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指标查询；趋势、分布和排行查询；受权限控制的统计导出</w:t>
            </w:r>
          </w:p>
        </w:tc>
      </w:tr>
      <w:tr w14:paraId="704CD362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3B7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测试范围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E0D8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各源表时间字段边界；机器人排除；去重；多维过滤；access_events读取；LinkForty SELECT授权与DML拒绝；数据源失败；导出失败</w:t>
            </w:r>
          </w:p>
        </w:tc>
      </w:tr>
    </w:tbl>
    <w:p w14:paraId="0DE30CE8">
      <w:pPr>
        <w:pStyle w:val="3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32"/>
        </w:rPr>
        <w:t>7. 外部系统与横向技术能力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00"/>
        <w:gridCol w:w="2700"/>
        <w:gridCol w:w="1900"/>
        <w:gridCol w:w="1660"/>
      </w:tblGrid>
      <w:tr w14:paraId="1C7C7209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C56C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5"/>
              </w:rPr>
              <w:t>对象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4AE13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5"/>
              </w:rPr>
              <w:t>性质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7C46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5"/>
              </w:rPr>
              <w:t>负责事项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F385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5"/>
              </w:rPr>
              <w:t>不负责事项</w:t>
            </w:r>
          </w:p>
        </w:tc>
        <w:tc>
          <w:tcPr>
            <w:tcW w:w="1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CF8E5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5"/>
              </w:rPr>
              <w:t>交互边界</w:t>
            </w:r>
          </w:p>
        </w:tc>
      </w:tr>
      <w:tr w14:paraId="0609793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B99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LinkForty API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6DE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外部系统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0412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接收入口Link、目标配置和资源变更，完成校验、平台落库与缓存失效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33A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不决定银行目标资源和路由规则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CCB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M3/M5/M6经适配层调用；所有LinkForty写入必须走API</w:t>
            </w:r>
          </w:p>
        </w:tc>
      </w:tr>
      <w:tr w14:paraId="10EAAAD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C93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LinkForty 点击事件/Webhook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CBF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外部事件源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C80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产生访问事实并发送含event_id的签名通知；平台维护运行数据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06CF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不提供本系统access_events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90A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M7验签并以event_id全局幂等；M7/M8仅可同库只读指定表；禁止平台DML/DDL/TRUNCATE</w:t>
            </w:r>
          </w:p>
        </w:tc>
      </w:tr>
      <w:tr w14:paraId="3C8D4CCC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56FD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银行日志平台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943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外部支撑系统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9D2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可接收运行日志或归档数据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6F9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不决定业务状态；本系统operation_logs仍是一期操作记录来源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764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日志字段、接口和保留期待确认</w:t>
            </w:r>
          </w:p>
        </w:tc>
      </w:tr>
      <w:tr w14:paraId="4CC82971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78C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银行业务系统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0F0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外部业务系统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817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提供办理结果、数量和金额等业务事实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889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不由统计模块生成真实办理量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9D4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M8 通过接口或数据交换读取，契约待确认</w:t>
            </w:r>
          </w:p>
        </w:tc>
      </w:tr>
      <w:tr w14:paraId="2A66639C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410F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PostgreSQL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AEC4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数据存储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6035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保存16张本系统表；M7/M8可用受限账号同库只读指定LinkForty表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B69A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不作为业务模块；不授予LinkForty写入、DDL、TRUNCATE或迁移权限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5CF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业务库由Repository访问；LinkForty写入由平台API完成；不新增第17张幂等表</w:t>
            </w:r>
          </w:p>
        </w:tc>
      </w:tr>
      <w:tr w14:paraId="735323D2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8CE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Redis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FB2F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缓存/任务支撑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3FEE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缓存已发布配置、幂等键或任务状态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AE5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不拥有业务对象最终状态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615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缓存失效和一致性策略待确认</w:t>
            </w:r>
          </w:p>
        </w:tc>
      </w:tr>
      <w:tr w14:paraId="4039094C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29B8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Android/iOS 应用或 SDK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483B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终端协作方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068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触发 NFC/NDEF 读取或承载深度链接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ABD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不维护后台业务数据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C56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通过入口 Link 和外部跳转协作</w:t>
            </w:r>
          </w:p>
        </w:tc>
      </w:tr>
      <w:tr w14:paraId="62D896B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FC7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NFC/NDEF 触点载体介质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CA8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物理介质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2C5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保存入口 Link 或 NDEF 内容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4A4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不决定绑定、路由和统计状态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701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由触点载体资产流程关联，写入方式待确认</w:t>
            </w:r>
          </w:p>
        </w:tc>
      </w:tr>
    </w:tbl>
    <w:p w14:paraId="620D3A51">
      <w:pPr>
        <w:pStyle w:val="4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26"/>
        </w:rPr>
        <w:t>7.1 横向技术能力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800"/>
        <w:gridCol w:w="3500"/>
        <w:gridCol w:w="2360"/>
      </w:tblGrid>
      <w:tr w14:paraId="223BC40B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AAA9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5"/>
              </w:rPr>
              <w:t>能力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FC26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5"/>
              </w:rPr>
              <w:t>服务对象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6DCC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5"/>
              </w:rPr>
              <w:t>统一规则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780BC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5"/>
              </w:rPr>
              <w:t>不应承担的业务职责</w:t>
            </w:r>
          </w:p>
        </w:tc>
      </w:tr>
      <w:tr w14:paraId="466D2936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02A3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身份认证与会话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4E7A5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所有后台命令和查询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C8CBE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Casdoor签发JWT；后端本地校验签名、issuer、audience、过期时间和subject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D5D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不在本地保存密码、Token或另建身份权威</w:t>
            </w:r>
          </w:p>
        </w:tc>
      </w:tr>
      <w:tr w14:paraId="5143DE23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F174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5"/>
              </w:rPr>
              <w:t>权限校验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B4680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所有后台接口、导出和管理命令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2840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5"/>
              </w:rPr>
              <w:t>Casdoor角色/功能权限为权威；本地IAM投影映射API并适配银行组织数据范围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3F95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不以本地IAM另行覆盖Casdoor授权，不以隐藏按钮代替校验</w:t>
            </w:r>
          </w:p>
        </w:tc>
      </w:tr>
      <w:tr w14:paraId="55BF4B43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CB843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5"/>
              </w:rPr>
              <w:t>参数校验与幂等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432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业务命令、Webhook、外部适配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010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格式、唯一键、重复请求和一致返回；Webhook仅以event_id全局幂等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ABC6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不把click_id设为唯一，不决定业务对象归属</w:t>
            </w:r>
          </w:p>
        </w:tc>
      </w:tr>
      <w:tr w14:paraId="4E794E0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B8B51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5"/>
              </w:rPr>
              <w:t>日志与监控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575D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业务模块、适配层和运维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EEF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区分操作审计、业务失败记录和运行日志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F56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不重复维护业务事件或统计结果</w:t>
            </w:r>
          </w:p>
        </w:tc>
      </w:tr>
      <w:tr w14:paraId="0A1E9764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78D78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5"/>
              </w:rPr>
              <w:t>失败处理与运行监控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8AE2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外部发布、Webhook 读取和异步任务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F2BF6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错误分类、超时和人工处理入口待确认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7823B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不改变业务规则决定方</w:t>
            </w:r>
          </w:p>
        </w:tc>
      </w:tr>
      <w:tr w14:paraId="3DF23ACF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65C64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5"/>
              </w:rPr>
              <w:t>数据导出与归档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20C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触碰查询、统计和审计查询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7D3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权限、格式、任务状态、保留和归档规则待确认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849D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不绕过业务模块直接改写数据</w:t>
            </w:r>
          </w:p>
        </w:tc>
      </w:tr>
    </w:tbl>
    <w:p w14:paraId="33AE8857">
      <w:pPr>
        <w:pStyle w:val="3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32"/>
        </w:rPr>
        <w:t>8. 数据归属</w:t>
      </w:r>
    </w:p>
    <w:p w14:paraId="4AC5118E">
      <w:pPr>
        <w:keepNext w:val="0"/>
        <w:spacing w:before="0" w:after="120" w:line="264" w:lineRule="auto"/>
        <w:jc w:val="left"/>
      </w:pPr>
      <w:r>
        <w:rPr>
          <w:rFonts w:hint="eastAsia" w:ascii="Arial Unicode MS" w:hAnsi="Arial Unicode MS" w:eastAsia="Arial Unicode MS" w:cs="Arial Unicode MS"/>
          <w:b w:val="0"/>
          <w:i w:val="0"/>
          <w:color w:val="1F2933"/>
          <w:sz w:val="21"/>
        </w:rPr>
        <w:t>核心数据对象由一个模块负责创建、修改和决定业务状态；其他模块通过服务调用或只读查询使用，不直接修改归属模块的数据。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350"/>
        <w:gridCol w:w="1550"/>
        <w:gridCol w:w="1800"/>
        <w:gridCol w:w="1500"/>
        <w:gridCol w:w="1660"/>
      </w:tblGrid>
      <w:tr w14:paraId="25B20FC7">
        <w:trPr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ECA0C">
            <w:r>
              <w:rPr>
                <w:rFonts w:ascii="Hiragino Sans GB" w:hAnsi="Hiragino Sans GB" w:eastAsia="Hiragino Sans GB" w:cs="Hiragino Sans GB"/>
              </w:rPr>
              <w:t>数据对象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9D50F">
            <w:r>
              <w:t>负责创建</w:t>
            </w:r>
          </w:p>
        </w:tc>
        <w:tc>
          <w:tcPr>
            <w:tcW w:w="1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41BA5">
            <w:r>
              <w:t>负责修改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32594">
            <w:r>
              <w:t>查询方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0CF98">
            <w:r>
              <w:t>状态决定方</w:t>
            </w:r>
          </w:p>
        </w:tc>
        <w:tc>
          <w:tcPr>
            <w:tcW w:w="1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8E40">
            <w:r>
              <w:t>规则</w:t>
            </w:r>
          </w:p>
        </w:tc>
      </w:tr>
      <w:tr w14:paraId="7AEDBF41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36A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用户、IAM投影、组织数据范围、操作日志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8D7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M1/Casdoor同步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D00E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M1/Casdoor同步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5DB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M1及所有接口鉴权组件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8D3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身份/角色/功能权限：Casdoor；组织数据范围适配：M1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045B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iam_users映射subject；角色权限表为Casdoor投影；iam_permission_apis映射API；iam_user_role_scopes适配银行组织范围；operation_logs只追加</w:t>
            </w:r>
          </w:p>
        </w:tc>
      </w:tr>
      <w:tr w14:paraId="64750A95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77B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4"/>
              </w:rPr>
              <w:t>组织机构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39EA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M2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D305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208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M2、M4、M6、M8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D810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M2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8E49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organization_units；支行从组织树向上解析；停用前执行关联影响检查</w:t>
            </w:r>
          </w:p>
        </w:tc>
      </w:tr>
      <w:tr w14:paraId="72901D2A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3548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客户经理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35BE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M2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6C3D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7375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M2、M4、M8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C4B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M2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E55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customer_managers；只保存直接所属组织；可选iam_user_id映射</w:t>
            </w:r>
          </w:p>
        </w:tc>
      </w:tr>
      <w:tr w14:paraId="0F968DB4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1AC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触点载体资产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EA6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M3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F590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6E2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M3、M4、M6、M7、M8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60A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M3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0E7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touchpoint_assets；asset_status与config_status分离</w:t>
            </w:r>
          </w:p>
        </w:tc>
      </w:tr>
      <w:tr w14:paraId="2DA3E895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0803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载体写入内容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F09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M3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4D7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4472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M3、M7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1BE4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M3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FE09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touchpoint_payloads；保存实际写入内容、核验和外部同步状态</w:t>
            </w:r>
          </w:p>
        </w:tc>
      </w:tr>
      <w:tr w14:paraId="259898DA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63AE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触点载体绑定记录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C38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M4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B6B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279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M2、M4、M6、M7、M8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4226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M4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6384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touchpoint_manager_assignments；当前绑定唯一，历史只追加</w:t>
            </w:r>
          </w:p>
        </w:tc>
      </w:tr>
      <w:tr w14:paraId="10847709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859F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目标资源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26D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M5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965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3B9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M5、M6、M7、M8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492F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M5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1789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target_resources；link_id与resource_value二选一；支持公共和组织资源</w:t>
            </w:r>
          </w:p>
        </w:tc>
      </w:tr>
      <w:tr w14:paraId="7DB23703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D5A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路由规则及发布状态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AAA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M6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6B3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E19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M6、M7、M8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0D9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M6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5D41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routing_rules；CARRIER/MANAGER/BRANCH/GLOBAL；version_no和publish_status</w:t>
            </w:r>
          </w:p>
        </w:tc>
      </w:tr>
      <w:tr w14:paraId="2DDEE078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F4CD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LinkForty运行数据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70C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LinkForty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7FCB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LinkForty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906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M7、M8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980C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LinkForty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108E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M7只读links/click_events必要字段；M8只读click_events、device_fingerprints、install_events、in_app_events及必要Link信息；所有写入走API；不读webhooks.secret</w:t>
            </w:r>
          </w:p>
        </w:tc>
      </w:tr>
      <w:tr w14:paraId="02889D7E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010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访问事件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171D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7171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A4F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M7、M8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4D12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985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access_events不分区；event_id全局唯一；click_id为非唯一逻辑引用；按事件时间保存载体、绑定、路由和目标快照</w:t>
            </w:r>
          </w:p>
        </w:tc>
      </w:tr>
    </w:tbl>
    <w:p w14:paraId="04256ECB">
      <w:pPr>
        <w:pStyle w:val="3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32"/>
        </w:rPr>
        <w:t>9. 接口、权限与依赖</w:t>
      </w:r>
    </w:p>
    <w:p w14:paraId="12A66EE4">
      <w:pPr>
        <w:pStyle w:val="4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26"/>
        </w:rPr>
        <w:t>9.1 接口边界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500"/>
        <w:gridCol w:w="2200"/>
        <w:gridCol w:w="1700"/>
        <w:gridCol w:w="1250"/>
        <w:gridCol w:w="1310"/>
      </w:tblGrid>
      <w:tr w14:paraId="0A563CC2">
        <w:trPr>
          <w:tblHeader/>
        </w:trPr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FEC5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5"/>
              </w:rPr>
              <w:t>接口类别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C1B6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5"/>
              </w:rPr>
              <w:t>调用方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BF7B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5"/>
              </w:rPr>
              <w:t>责任模块/能力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58CD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5"/>
              </w:rPr>
              <w:t>输入</w:t>
            </w:r>
          </w:p>
        </w:tc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F5B2A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5"/>
              </w:rPr>
              <w:t>输出</w:t>
            </w:r>
          </w:p>
        </w:tc>
        <w:tc>
          <w:tcPr>
            <w:tcW w:w="1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5787E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5"/>
              </w:rPr>
              <w:t>失败处理</w:t>
            </w:r>
          </w:p>
        </w:tc>
      </w:tr>
      <w:tr w14:paraId="7A29A06F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211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查询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98C0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后台页面、统计查询方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107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对应业务模块读取授权范围内数据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21748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查询条件、分页、排序、权限上下文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5CA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列表、详情、统计结果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99B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参数错误、无权限、对象不存在和数据源失败分别返回</w:t>
            </w:r>
          </w:p>
        </w:tc>
      </w:tr>
      <w:tr w14:paraId="2A69F6E5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40EA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5"/>
              </w:rPr>
              <w:t>业务命令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B07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后台页面、内部流程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4F18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业务模块校验规则并决定唯一业务状态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F35A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对象 ID、命令类型、业务字段、幂等键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5F72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命令结果、状态、影响范围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84D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规则冲突不写入；外部调用失败进入明确失败或补偿状态</w:t>
            </w:r>
          </w:p>
        </w:tc>
      </w:tr>
      <w:tr w14:paraId="5B2ACC94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FAF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外部适配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AB06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M3、M5、M6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4ED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LinkForty适配能力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98F8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外部资源ID、完整配置、请求幂等键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A183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外部资源结果和复核状态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00BF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超时、重复、字段不兼容、缓存失效和本地事务失败进入重试、补偿或对账</w:t>
            </w:r>
          </w:p>
        </w:tc>
      </w:tr>
      <w:tr w14:paraId="06071C05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F0DA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Webhook接收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BA4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LinkForty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DCE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M7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12C3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原始事件体、签名、event_id、click_id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B386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接收确认、关联状态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E933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验签或缺失event_id拒绝；重复event_id幂等成功；乱序按事件时间处理</w:t>
            </w:r>
          </w:p>
        </w:tc>
      </w:tr>
    </w:tbl>
    <w:p w14:paraId="5E167D90">
      <w:pPr>
        <w:pStyle w:val="4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26"/>
        </w:rPr>
        <w:t>9.2 权限边界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626"/>
        <w:gridCol w:w="813"/>
        <w:gridCol w:w="1310"/>
        <w:gridCol w:w="1671"/>
        <w:gridCol w:w="1581"/>
        <w:gridCol w:w="1004"/>
      </w:tblGrid>
      <w:tr w14:paraId="41841BA2">
        <w:trPr>
          <w:tblHeader/>
        </w:trPr>
        <w:tc>
          <w:tcPr>
            <w:tcW w:w="13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8C1B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5"/>
              </w:rPr>
              <w:t>能力</w:t>
            </w:r>
          </w:p>
        </w:tc>
        <w:tc>
          <w:tcPr>
            <w:tcW w:w="162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52443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5"/>
              </w:rPr>
              <w:t>角色</w:t>
            </w:r>
          </w:p>
        </w:tc>
        <w:tc>
          <w:tcPr>
            <w:tcW w:w="81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ACBC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5"/>
              </w:rPr>
              <w:t>查询</w:t>
            </w:r>
          </w:p>
        </w:tc>
        <w:tc>
          <w:tcPr>
            <w:tcW w:w="1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1500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5"/>
              </w:rPr>
              <w:t>新增/修改</w:t>
            </w:r>
          </w:p>
        </w:tc>
        <w:tc>
          <w:tcPr>
            <w:tcW w:w="167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D5ACB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5"/>
              </w:rPr>
              <w:t>删除/停用/启用</w:t>
            </w:r>
          </w:p>
        </w:tc>
        <w:tc>
          <w:tcPr>
            <w:tcW w:w="158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DA98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5"/>
              </w:rPr>
              <w:t>数据范围</w:t>
            </w:r>
          </w:p>
        </w:tc>
        <w:tc>
          <w:tcPr>
            <w:tcW w:w="10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FF4F1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5"/>
              </w:rPr>
              <w:t>状态</w:t>
            </w:r>
          </w:p>
        </w:tc>
      </w:tr>
      <w:tr w14:paraId="402806ED">
        <w:tc>
          <w:tcPr>
            <w:tcW w:w="1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BF69B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后台登录与审计</w:t>
            </w:r>
          </w:p>
        </w:tc>
        <w:tc>
          <w:tcPr>
            <w:tcW w:w="1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09D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Casdoor授权角色（名称由Casdoor配置）</w:t>
            </w:r>
          </w:p>
        </w:tc>
        <w:tc>
          <w:tcPr>
            <w:tcW w:w="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FAB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按Casdoor权限与本地组织范围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5DC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IAM投影同步/适配需管理权限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871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会话由Casdoor管理；本地用户可停用</w:t>
            </w:r>
          </w:p>
        </w:tc>
        <w:tc>
          <w:tcPr>
            <w:tcW w:w="15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70F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Casdoor主体 + iam_user_role_scopes组织范围</w:t>
            </w:r>
          </w:p>
        </w:tc>
        <w:tc>
          <w:tcPr>
            <w:tcW w:w="10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019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MVP最小RBAC</w:t>
            </w:r>
          </w:p>
        </w:tc>
      </w:tr>
      <w:tr w14:paraId="151D2C8C">
        <w:tc>
          <w:tcPr>
            <w:tcW w:w="1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D913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5"/>
              </w:rPr>
              <w:t>机构与客户经理</w:t>
            </w:r>
          </w:p>
        </w:tc>
        <w:tc>
          <w:tcPr>
            <w:tcW w:w="1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4FD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总行管理员、支行行长、客户经理、观察者</w:t>
            </w:r>
          </w:p>
        </w:tc>
        <w:tc>
          <w:tcPr>
            <w:tcW w:w="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A98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允许，范围待确认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9486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允许，审批待确认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641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由 M2 执行</w:t>
            </w:r>
          </w:p>
        </w:tc>
        <w:tc>
          <w:tcPr>
            <w:tcW w:w="15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4DC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按iam_user_role_scopes的本人/机构/全局范围校验</w:t>
            </w:r>
          </w:p>
        </w:tc>
        <w:tc>
          <w:tcPr>
            <w:tcW w:w="10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966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待开发</w:t>
            </w:r>
          </w:p>
        </w:tc>
      </w:tr>
      <w:tr w14:paraId="18DA8871">
        <w:tc>
          <w:tcPr>
            <w:tcW w:w="1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8942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触点载体与绑定</w:t>
            </w:r>
          </w:p>
        </w:tc>
        <w:tc>
          <w:tcPr>
            <w:tcW w:w="1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45FF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总行管理员、支行行长、客户经理、观察者</w:t>
            </w:r>
          </w:p>
        </w:tc>
        <w:tc>
          <w:tcPr>
            <w:tcW w:w="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F53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允许，范围待确认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165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命令权限待确认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07AE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M3/M4分别执行</w:t>
            </w:r>
          </w:p>
        </w:tc>
        <w:tc>
          <w:tcPr>
            <w:tcW w:w="15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D9A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按iam_user_role_scopes的本人/机构/全局范围校验</w:t>
            </w:r>
          </w:p>
        </w:tc>
        <w:tc>
          <w:tcPr>
            <w:tcW w:w="10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39F5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待开发</w:t>
            </w:r>
          </w:p>
        </w:tc>
      </w:tr>
      <w:tr w14:paraId="4AFD503C">
        <w:tc>
          <w:tcPr>
            <w:tcW w:w="1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64A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地址与路由发布</w:t>
            </w:r>
          </w:p>
        </w:tc>
        <w:tc>
          <w:tcPr>
            <w:tcW w:w="1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B777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管理员/运营角色待确认</w:t>
            </w:r>
          </w:p>
        </w:tc>
        <w:tc>
          <w:tcPr>
            <w:tcW w:w="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C92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允许，范围待确认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4BF7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发布需确认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E30D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规则待确认</w:t>
            </w:r>
          </w:p>
        </w:tc>
        <w:tc>
          <w:tcPr>
            <w:tcW w:w="15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813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业务范围待确认</w:t>
            </w:r>
          </w:p>
        </w:tc>
        <w:tc>
          <w:tcPr>
            <w:tcW w:w="10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4D3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待开发</w:t>
            </w:r>
          </w:p>
        </w:tc>
      </w:tr>
      <w:tr w14:paraId="47214FB3">
        <w:tc>
          <w:tcPr>
            <w:tcW w:w="1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11B8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触碰查询与导出</w:t>
            </w:r>
          </w:p>
        </w:tc>
        <w:tc>
          <w:tcPr>
            <w:tcW w:w="1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B5A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总行管理员、支行行长、客户经理、观察者</w:t>
            </w:r>
          </w:p>
        </w:tc>
        <w:tc>
          <w:tcPr>
            <w:tcW w:w="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68EC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允许，范围待确认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DBEF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不修改原始事实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4D5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导出需审计</w:t>
            </w:r>
          </w:p>
        </w:tc>
        <w:tc>
          <w:tcPr>
            <w:tcW w:w="15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F524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按iam_user_role_scopes的本人/机构/全局范围校验</w:t>
            </w:r>
          </w:p>
        </w:tc>
        <w:tc>
          <w:tcPr>
            <w:tcW w:w="10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C84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待开发</w:t>
            </w:r>
          </w:p>
        </w:tc>
      </w:tr>
      <w:tr w14:paraId="47C4F363">
        <w:tc>
          <w:tcPr>
            <w:tcW w:w="1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015A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统计分析</w:t>
            </w:r>
          </w:p>
        </w:tc>
        <w:tc>
          <w:tcPr>
            <w:tcW w:w="1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34FC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总行管理员、支行行长、客户经理、观察者</w:t>
            </w:r>
          </w:p>
        </w:tc>
        <w:tc>
          <w:tcPr>
            <w:tcW w:w="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3AC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允许，范围待确认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CD0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不修改原始事实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FDE1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导出规则待确认</w:t>
            </w:r>
          </w:p>
        </w:tc>
        <w:tc>
          <w:tcPr>
            <w:tcW w:w="15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4943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按iam_user_role_scopes的本人/机构/全局范围校验</w:t>
            </w:r>
          </w:p>
        </w:tc>
        <w:tc>
          <w:tcPr>
            <w:tcW w:w="10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BDA5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5"/>
              </w:rPr>
              <w:t>规划项</w:t>
            </w:r>
          </w:p>
        </w:tc>
      </w:tr>
      <w:tr w14:paraId="6B2DF2A6">
        <w:tblPrEx>
          <w:tblBorders>
            <w:top w:val="single" w:color="7A5A00" w:sz="10" w:space="0"/>
            <w:left w:val="single" w:color="7A5A00" w:sz="10" w:space="0"/>
            <w:bottom w:val="single" w:color="7A5A00" w:sz="10" w:space="0"/>
            <w:right w:val="single" w:color="7A5A00" w:sz="10" w:space="0"/>
            <w:insideH w:val="single" w:color="7A5A00" w:sz="10" w:space="0"/>
            <w:insideV w:val="single" w:color="7A5A00" w:sz="10" w:space="0"/>
          </w:tblBorders>
        </w:tblPrEx>
        <w:tc>
          <w:tcPr>
            <w:tcW w:w="9360" w:type="dxa"/>
            <w:gridSpan w:val="7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FCA7">
            <w:r>
              <w:rPr>
                <w:rFonts w:ascii="Hiragino Sans GB" w:hAnsi="Hiragino Sans GB" w:eastAsia="Hiragino Sans GB" w:cs="Hiragino Sans GB"/>
              </w:rPr>
              <w:t>权限原则：Casdoor是身份、角色和功能权限权威；前端按钮仅控制展示；后端以JWT、本地IAM投影、iam_permission_apis和iam_user_role_scopes强制校验功能权限与银行组织数据范围。</w:t>
            </w:r>
          </w:p>
        </w:tc>
      </w:tr>
    </w:tbl>
    <w:p w14:paraId="2398EA29">
      <w:pPr>
        <w:spacing w:after="40"/>
      </w:pPr>
    </w:p>
    <w:p w14:paraId="5DB3896D">
      <w:pPr>
        <w:pStyle w:val="3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32"/>
        </w:rPr>
        <w:t>10. 业务流程映射</w:t>
      </w:r>
    </w:p>
    <w:p w14:paraId="2530AFA9">
      <w:pPr>
        <w:pStyle w:val="4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26"/>
        </w:rPr>
        <w:t>10.1 触点载体绑定流程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446"/>
        <w:gridCol w:w="1129"/>
        <w:gridCol w:w="1988"/>
        <w:gridCol w:w="1446"/>
        <w:gridCol w:w="768"/>
        <w:gridCol w:w="1363"/>
      </w:tblGrid>
      <w:tr w14:paraId="711B4F72">
        <w:trPr>
          <w:tblHeader/>
        </w:trPr>
        <w:tc>
          <w:tcPr>
            <w:tcW w:w="12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0530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流程步骤</w:t>
            </w:r>
          </w:p>
        </w:tc>
        <w:tc>
          <w:tcPr>
            <w:tcW w:w="144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84E9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4"/>
              </w:rPr>
              <w:t>输入</w:t>
            </w:r>
          </w:p>
        </w:tc>
        <w:tc>
          <w:tcPr>
            <w:tcW w:w="112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ECBC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责任模块</w:t>
            </w:r>
          </w:p>
        </w:tc>
        <w:tc>
          <w:tcPr>
            <w:tcW w:w="19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779C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处理规则</w:t>
            </w:r>
          </w:p>
        </w:tc>
        <w:tc>
          <w:tcPr>
            <w:tcW w:w="144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7B3EF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数据操作</w:t>
            </w:r>
          </w:p>
        </w:tc>
        <w:tc>
          <w:tcPr>
            <w:tcW w:w="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B0EC3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输出</w:t>
            </w:r>
          </w:p>
        </w:tc>
        <w:tc>
          <w:tcPr>
            <w:tcW w:w="136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C6B0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异常责任</w:t>
            </w:r>
          </w:p>
        </w:tc>
      </w:tr>
      <w:tr w14:paraId="6FD3D82C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ABFD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4"/>
              </w:rPr>
              <w:t>1. 提交绑定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B7F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asset_id、manager_id、effective_from/effective_to</w:t>
            </w:r>
          </w:p>
        </w:tc>
        <w:tc>
          <w:tcPr>
            <w:tcW w:w="11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966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M4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E56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校验命令、权限和数据范围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1B89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读取touchpoint_assets和customer_managers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894A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待校验命令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0A3D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M4</w:t>
            </w:r>
          </w:p>
        </w:tc>
      </w:tr>
      <w:tr w14:paraId="5B481733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99C3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2. 校验资产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A801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asset_status、manager status、数量规则</w:t>
            </w:r>
          </w:p>
        </w:tc>
        <w:tc>
          <w:tcPr>
            <w:tcW w:w="11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6CF9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M3/M4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C2C3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M3提供载体状态，M4决定绑定规则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341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只读数据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420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校验结果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4D9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M3/M4</w:t>
            </w:r>
          </w:p>
        </w:tc>
      </w:tr>
      <w:tr w14:paraId="782B92D3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C901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3. 校验时间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4242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现有绑定和新有效期</w:t>
            </w:r>
          </w:p>
        </w:tc>
        <w:tc>
          <w:tcPr>
            <w:tcW w:w="11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F62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M4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B658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检查重叠和当前唯一性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E19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读取touchpoint_manager_assignments历史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A26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通过或冲突原因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F663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M4</w:t>
            </w:r>
          </w:p>
        </w:tc>
      </w:tr>
      <w:tr w14:paraId="5B08DFF7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D83A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4. 写入绑定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7FC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通过校验的命令</w:t>
            </w:r>
          </w:p>
        </w:tc>
        <w:tc>
          <w:tcPr>
            <w:tcW w:w="11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064A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M4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0399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保存经理和支行快照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D92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新增touchpoint_manager_assignments及组织/支行/经理快照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F17F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绑定 ID、状态和时间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340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M4</w:t>
            </w:r>
          </w:p>
        </w:tc>
      </w:tr>
      <w:tr w14:paraId="46827CC4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D418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5. 记录审计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47A2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命令前后配置和结果</w:t>
            </w:r>
          </w:p>
        </w:tc>
        <w:tc>
          <w:tcPr>
            <w:tcW w:w="11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A5D4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M1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92C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关键命令必须有审计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36B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写operation_logs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9B9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审计记录结果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EDE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M1/日志能力</w:t>
            </w:r>
          </w:p>
        </w:tc>
      </w:tr>
    </w:tbl>
    <w:p w14:paraId="135CD3B4">
      <w:pPr>
        <w:pStyle w:val="4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26"/>
        </w:rPr>
        <w:t>10.2 路由配置发布流程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446"/>
        <w:gridCol w:w="1220"/>
        <w:gridCol w:w="1852"/>
        <w:gridCol w:w="1536"/>
        <w:gridCol w:w="768"/>
        <w:gridCol w:w="1318"/>
      </w:tblGrid>
      <w:tr w14:paraId="27F79802">
        <w:trPr>
          <w:tblHeader/>
        </w:trPr>
        <w:tc>
          <w:tcPr>
            <w:tcW w:w="12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7A68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流程步骤</w:t>
            </w:r>
          </w:p>
        </w:tc>
        <w:tc>
          <w:tcPr>
            <w:tcW w:w="144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3BEF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输入</w:t>
            </w:r>
          </w:p>
        </w:tc>
        <w:tc>
          <w:tcPr>
            <w:tcW w:w="12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2F4C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责任模块</w:t>
            </w:r>
          </w:p>
        </w:tc>
        <w:tc>
          <w:tcPr>
            <w:tcW w:w="18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56900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处理规则</w:t>
            </w:r>
          </w:p>
        </w:tc>
        <w:tc>
          <w:tcPr>
            <w:tcW w:w="15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C252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数据操作</w:t>
            </w:r>
          </w:p>
        </w:tc>
        <w:tc>
          <w:tcPr>
            <w:tcW w:w="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1156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输出</w:t>
            </w:r>
          </w:p>
        </w:tc>
        <w:tc>
          <w:tcPr>
            <w:tcW w:w="131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3734D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异常责任</w:t>
            </w:r>
          </w:p>
        </w:tc>
      </w:tr>
      <w:tr w14:paraId="08887E22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E62E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1. 编辑地址/规则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661C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目标资源、作用域、优先级、有效期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8AF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M5/M6</w:t>
            </w:r>
          </w:p>
        </w:tc>
        <w:tc>
          <w:tcPr>
            <w:tcW w:w="1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B88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分别校验target_resources和routing_rules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23A4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写routing_rules草稿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11A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配置草稿</w:t>
            </w:r>
          </w:p>
        </w:tc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BC8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M5/M6</w:t>
            </w:r>
          </w:p>
        </w:tc>
      </w:tr>
      <w:tr w14:paraId="0FA7C21C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BEB0C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4"/>
              </w:rPr>
              <w:t>2. 计算影响范围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6DE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目标资源或规则变更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6CAD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M5/M6</w:t>
            </w:r>
          </w:p>
        </w:tc>
        <w:tc>
          <w:tcPr>
            <w:tcW w:w="1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7FB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按规则统计受影响触点载体、绑定和外部资源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7EC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只读关联数据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F588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影响清单</w:t>
            </w:r>
          </w:p>
        </w:tc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788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M5/M6</w:t>
            </w:r>
          </w:p>
        </w:tc>
      </w:tr>
      <w:tr w14:paraId="0388A751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5AE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3. 管理员确认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A0D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影响清单、前后配置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18B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M1/M6</w:t>
            </w:r>
          </w:p>
        </w:tc>
        <w:tc>
          <w:tcPr>
            <w:tcW w:w="1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6DB7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确认后才允许发布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756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写审计记录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01F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发布授权</w:t>
            </w:r>
          </w:p>
        </w:tc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BAA4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M1</w:t>
            </w:r>
          </w:p>
        </w:tc>
      </w:tr>
      <w:tr w14:paraId="4B361EDA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33A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4. 生成发布意图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50D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确认后的target_resource_id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732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M6</w:t>
            </w:r>
          </w:p>
        </w:tc>
        <w:tc>
          <w:tcPr>
            <w:tcW w:w="1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51E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按规则生成LinkForty发布配置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D6EA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更新version_no和发布状态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7A49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发布意图</w:t>
            </w:r>
          </w:p>
        </w:tc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4BA2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M6</w:t>
            </w:r>
          </w:p>
        </w:tc>
      </w:tr>
      <w:tr w14:paraId="47573AF2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5F7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5. 调用 LinkForty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2F6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发布意图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76B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外部适配能力</w:t>
            </w:r>
          </w:p>
        </w:tc>
        <w:tc>
          <w:tcPr>
            <w:tcW w:w="1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0B10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转换字段、调用 API、处理幂等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EE68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通过API更新外部链接，不直接写LinkForty表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443C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API 结果</w:t>
            </w:r>
          </w:p>
        </w:tc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680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外部适配能力</w:t>
            </w:r>
          </w:p>
        </w:tc>
      </w:tr>
      <w:tr w14:paraId="134189D7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E16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6. 复核与补偿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9DBE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API 结果和复核结果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EEED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外部适配能力</w:t>
            </w:r>
          </w:p>
        </w:tc>
        <w:tc>
          <w:tcPr>
            <w:tcW w:w="1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B113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失败进入待补偿状态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473A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写publish_status、publish_message和operation_logs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BA3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生效或失败结果</w:t>
            </w:r>
          </w:p>
        </w:tc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E9E0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外部适配能力/运维</w:t>
            </w:r>
          </w:p>
        </w:tc>
      </w:tr>
    </w:tbl>
    <w:p w14:paraId="7774C9C0">
      <w:pPr>
        <w:pStyle w:val="4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26"/>
        </w:rPr>
        <w:t>10.3 触碰事件接入流程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446"/>
        <w:gridCol w:w="1220"/>
        <w:gridCol w:w="1852"/>
        <w:gridCol w:w="1536"/>
        <w:gridCol w:w="768"/>
        <w:gridCol w:w="1318"/>
      </w:tblGrid>
      <w:tr w14:paraId="788BDC33">
        <w:trPr>
          <w:tblHeader/>
        </w:trPr>
        <w:tc>
          <w:tcPr>
            <w:tcW w:w="12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5F07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4"/>
              </w:rPr>
              <w:t>流程步骤</w:t>
            </w:r>
          </w:p>
        </w:tc>
        <w:tc>
          <w:tcPr>
            <w:tcW w:w="144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BC57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输入</w:t>
            </w:r>
          </w:p>
        </w:tc>
        <w:tc>
          <w:tcPr>
            <w:tcW w:w="12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2FB1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责任模块</w:t>
            </w:r>
          </w:p>
        </w:tc>
        <w:tc>
          <w:tcPr>
            <w:tcW w:w="18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2B147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处理规则</w:t>
            </w:r>
          </w:p>
        </w:tc>
        <w:tc>
          <w:tcPr>
            <w:tcW w:w="15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B413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数据操作</w:t>
            </w:r>
          </w:p>
        </w:tc>
        <w:tc>
          <w:tcPr>
            <w:tcW w:w="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829C2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输出</w:t>
            </w:r>
          </w:p>
        </w:tc>
        <w:tc>
          <w:tcPr>
            <w:tcW w:w="131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B2167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异常责任</w:t>
            </w:r>
          </w:p>
        </w:tc>
      </w:tr>
      <w:tr w14:paraId="2F2C214E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E06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1. 接收 Webhook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BCEB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原始事件体、签名、event_id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A5E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</w:t>
            </w:r>
          </w:p>
        </w:tc>
        <w:tc>
          <w:tcPr>
            <w:tcW w:w="1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950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校验签名、格式和event_id；缺失则拒绝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35E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尝试写入不分区access_events；UNIQUE(event_id)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9C1D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接收确认/拒绝</w:t>
            </w:r>
          </w:p>
        </w:tc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C9F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</w:t>
            </w:r>
          </w:p>
        </w:tc>
      </w:tr>
      <w:tr w14:paraId="640AAD9F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B02E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4"/>
              </w:rPr>
              <w:t>2. 关联点击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139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click_id、Link标识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F656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</w:t>
            </w:r>
          </w:p>
        </w:tc>
        <w:tc>
          <w:tcPr>
            <w:tcW w:w="1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47B5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按需同库只读click_events/links或调用查询API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00F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只读外部点击与载体关联；不写LinkForty表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30DC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点击和入口信息</w:t>
            </w:r>
          </w:p>
        </w:tc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801B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M7/LinkForty</w:t>
            </w:r>
          </w:p>
        </w:tc>
      </w:tr>
      <w:tr w14:paraId="2A2374DC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A4AE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3. 关联触点载体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3E3B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LinkForty链接标识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D09D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</w:t>
            </w:r>
          </w:p>
        </w:tc>
        <w:tc>
          <w:tcPr>
            <w:tcW w:w="1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957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通过touchpoint_payloads反查touchpoint_assets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717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只读载体数据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96E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触点载体或未识别原因</w:t>
            </w:r>
          </w:p>
        </w:tc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056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M7/M3</w:t>
            </w:r>
          </w:p>
        </w:tc>
      </w:tr>
      <w:tr w14:paraId="3202D88A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22306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4. 读取事件时点快照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6F3D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载体、事件时间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5E4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</w:t>
            </w:r>
          </w:p>
        </w:tc>
        <w:tc>
          <w:tcPr>
            <w:tcW w:w="1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67A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按Webhook事件时间而非到达顺序选择绑定、路由和目标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6A4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只读绑定、规则和目标资源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258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绑定/路由/目标快照</w:t>
            </w:r>
          </w:p>
        </w:tc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573C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M7/M4/M6</w:t>
            </w:r>
          </w:p>
        </w:tc>
      </w:tr>
      <w:tr w14:paraId="571E0082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CD3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5. 写入触碰扩展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1076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event_id、click_id、关联结果和快照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2C4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</w:t>
            </w:r>
          </w:p>
        </w:tc>
        <w:tc>
          <w:tcPr>
            <w:tcW w:w="1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6D08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仅event_id全局唯一；重复event_id幂等成功；click_id可重复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5A8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写access_events及解析状态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2E1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触碰记录ID/幂等结果</w:t>
            </w:r>
          </w:p>
        </w:tc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905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</w:t>
            </w:r>
          </w:p>
        </w:tc>
      </w:tr>
      <w:tr w14:paraId="5DE4483F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11A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6. 查询/导出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390B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查询条件和权限上下文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1C8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M7/M1</w:t>
            </w:r>
          </w:p>
        </w:tc>
        <w:tc>
          <w:tcPr>
            <w:tcW w:w="1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F0B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后端权限校验，导出生成审计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C97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读取触碰数据和写审计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59E4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列表/文件</w:t>
            </w:r>
          </w:p>
        </w:tc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B80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M7/M1</w:t>
            </w:r>
          </w:p>
        </w:tc>
      </w:tr>
    </w:tbl>
    <w:p w14:paraId="2F35A7F9">
      <w:pPr>
        <w:pStyle w:val="4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26"/>
        </w:rPr>
        <w:t>10.4 统计查询流程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446"/>
        <w:gridCol w:w="1220"/>
        <w:gridCol w:w="1852"/>
        <w:gridCol w:w="1536"/>
        <w:gridCol w:w="768"/>
        <w:gridCol w:w="1318"/>
      </w:tblGrid>
      <w:tr w14:paraId="20953201">
        <w:trPr>
          <w:tblHeader/>
        </w:trPr>
        <w:tc>
          <w:tcPr>
            <w:tcW w:w="12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6CFC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流程步骤</w:t>
            </w:r>
          </w:p>
        </w:tc>
        <w:tc>
          <w:tcPr>
            <w:tcW w:w="144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E1F86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输入</w:t>
            </w:r>
          </w:p>
        </w:tc>
        <w:tc>
          <w:tcPr>
            <w:tcW w:w="12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A243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4"/>
              </w:rPr>
              <w:t>责任模块</w:t>
            </w:r>
          </w:p>
        </w:tc>
        <w:tc>
          <w:tcPr>
            <w:tcW w:w="18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3E41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处理规则</w:t>
            </w:r>
          </w:p>
        </w:tc>
        <w:tc>
          <w:tcPr>
            <w:tcW w:w="15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F866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数据操作</w:t>
            </w:r>
          </w:p>
        </w:tc>
        <w:tc>
          <w:tcPr>
            <w:tcW w:w="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158A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输出</w:t>
            </w:r>
          </w:p>
        </w:tc>
        <w:tc>
          <w:tcPr>
            <w:tcW w:w="131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6E672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4"/>
              </w:rPr>
              <w:t>异常责任</w:t>
            </w:r>
          </w:p>
        </w:tc>
      </w:tr>
      <w:tr w14:paraId="7F4DE4D5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D023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1. 提交查询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F48AE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时间、组织、指标、维度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298C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M8</w:t>
            </w:r>
          </w:p>
        </w:tc>
        <w:tc>
          <w:tcPr>
            <w:tcW w:w="1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DB7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校验查询范围和指标组合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F312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不写业务事实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D4C8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查询任务</w:t>
            </w:r>
          </w:p>
        </w:tc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3226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M8/权限能力</w:t>
            </w:r>
          </w:p>
        </w:tc>
      </w:tr>
      <w:tr w14:paraId="7B276066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6E6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2. 读取数据源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4F9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click_events、access_events、install_events、in_app_events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510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M8</w:t>
            </w:r>
          </w:p>
        </w:tc>
        <w:tc>
          <w:tcPr>
            <w:tcW w:w="1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6200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使用受限账号同库只读指定LinkForty表和本系统事件；必要时使用查询API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70D3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只读多源数据；禁止LinkForty DML/DDL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D53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中间统计结果</w:t>
            </w:r>
          </w:p>
        </w:tc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6CA2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M8</w:t>
            </w:r>
          </w:p>
        </w:tc>
      </w:tr>
      <w:tr w14:paraId="2BA1A812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EE1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3. 排除与去重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139A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机器人状态、重复设备和失败状态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075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M8</w:t>
            </w:r>
          </w:p>
        </w:tc>
        <w:tc>
          <w:tcPr>
            <w:tcW w:w="1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D18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按指标定义排除或去重，不修改原始事件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C072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查询计算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437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指标结果</w:t>
            </w:r>
          </w:p>
        </w:tc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60A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M8</w:t>
            </w:r>
          </w:p>
        </w:tc>
      </w:tr>
      <w:tr w14:paraId="5CDC0E5D"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765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4. 返回/导出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917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结果集和导出条件</w:t>
            </w:r>
          </w:p>
        </w:tc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234F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M8/M1</w:t>
            </w:r>
          </w:p>
        </w:tc>
        <w:tc>
          <w:tcPr>
            <w:tcW w:w="1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EFB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导出过程不新增核心业务表，operation_logs记录导出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5602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写导出任务或文件</w:t>
            </w:r>
          </w:p>
        </w:tc>
        <w:tc>
          <w:tcPr>
            <w:tcW w:w="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70A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页面结果/文件</w:t>
            </w:r>
          </w:p>
        </w:tc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96F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4"/>
              </w:rPr>
              <w:t>M8/M1</w:t>
            </w:r>
          </w:p>
        </w:tc>
      </w:tr>
    </w:tbl>
    <w:p w14:paraId="71D40A9E">
      <w:pPr>
        <w:pStyle w:val="3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32"/>
        </w:rPr>
        <w:t>11. 代码与设计落点</w:t>
      </w:r>
    </w:p>
    <w:p w14:paraId="2E7AD67D">
      <w:pPr>
        <w:keepNext w:val="0"/>
        <w:spacing w:before="0" w:after="120" w:line="264" w:lineRule="auto"/>
        <w:jc w:val="left"/>
      </w:pPr>
      <w:r>
        <w:rPr>
          <w:rFonts w:hint="eastAsia" w:ascii="Arial Unicode MS" w:hAnsi="Arial Unicode MS" w:eastAsia="Arial Unicode MS" w:cs="Arial Unicode MS"/>
          <w:b w:val="0"/>
          <w:i w:val="0"/>
          <w:color w:val="1F2933"/>
          <w:sz w:val="21"/>
        </w:rPr>
        <w:t>代码目录、页面和现有接口在本表中作为技术落点参考。待开发模块仍然可以先确定业务目录、服务边界、数据模型和接口任务。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468"/>
        <w:gridCol w:w="1090"/>
        <w:gridCol w:w="1048"/>
        <w:gridCol w:w="1342"/>
        <w:gridCol w:w="881"/>
        <w:gridCol w:w="965"/>
        <w:gridCol w:w="1350"/>
      </w:tblGrid>
      <w:tr w14:paraId="7B77714E">
        <w:trPr>
          <w:tblHeader/>
        </w:trPr>
        <w:tc>
          <w:tcPr>
            <w:tcW w:w="12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7A71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3"/>
              </w:rPr>
              <w:t>设计模块</w:t>
            </w:r>
          </w:p>
        </w:tc>
        <w:tc>
          <w:tcPr>
            <w:tcW w:w="14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B8CE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3"/>
              </w:rPr>
              <w:t>Controller/Route</w:t>
            </w:r>
          </w:p>
        </w:tc>
        <w:tc>
          <w:tcPr>
            <w:tcW w:w="10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C44BD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3"/>
              </w:rPr>
              <w:t>Service/Worker</w:t>
            </w:r>
          </w:p>
        </w:tc>
        <w:tc>
          <w:tcPr>
            <w:tcW w:w="1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50DF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3"/>
              </w:rPr>
              <w:t>Repository/数据访问</w:t>
            </w:r>
          </w:p>
        </w:tc>
        <w:tc>
          <w:tcPr>
            <w:tcW w:w="13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48A82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3"/>
              </w:rPr>
              <w:t>数据表/对象</w:t>
            </w:r>
          </w:p>
        </w:tc>
        <w:tc>
          <w:tcPr>
            <w:tcW w:w="88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64800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3"/>
              </w:rPr>
              <w:t>前端页面</w:t>
            </w:r>
          </w:p>
        </w:tc>
        <w:tc>
          <w:tcPr>
            <w:tcW w:w="9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0376D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3"/>
              </w:rPr>
              <w:t>接口落点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BB97D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3"/>
              </w:rPr>
              <w:t>说明</w:t>
            </w:r>
          </w:p>
        </w:tc>
      </w:tr>
      <w:tr w14:paraId="0AE6D1E6">
        <w:tc>
          <w:tcPr>
            <w:tcW w:w="12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2D0D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M1 后台访问、IAM 与操作审计</w:t>
            </w:r>
          </w:p>
        </w:tc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A6C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4772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JWT验签/IAM投影适配</w:t>
            </w:r>
          </w:p>
        </w:tc>
        <w:tc>
          <w:tcPr>
            <w:tcW w:w="1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FBA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3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FF43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iam_users、IAM投影关系表、operation_logs</w:t>
            </w:r>
          </w:p>
        </w:tc>
        <w:tc>
          <w:tcPr>
            <w:tcW w:w="8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F8D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登录、IAM投影和审计页</w:t>
            </w:r>
          </w:p>
        </w:tc>
        <w:tc>
          <w:tcPr>
            <w:tcW w:w="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A20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Casdoor登录/JWT、本地适配、审计查询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4E63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Casdoor权威；本地IAM不独立授权</w:t>
            </w:r>
          </w:p>
        </w:tc>
      </w:tr>
      <w:tr w14:paraId="75A822A3">
        <w:tc>
          <w:tcPr>
            <w:tcW w:w="12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5F6F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M2 机构与客户经理</w:t>
            </w:r>
          </w:p>
        </w:tc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5E6E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EA0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0F4C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3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4F8F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organization_units、customer_managers</w:t>
            </w:r>
          </w:p>
        </w:tc>
        <w:tc>
          <w:tcPr>
            <w:tcW w:w="8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936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组织/经理页待设计</w:t>
            </w:r>
          </w:p>
        </w:tc>
        <w:tc>
          <w:tcPr>
            <w:tcW w:w="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FC1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主数据维护接口待定义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A621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机构主数据由 M2 维护</w:t>
            </w:r>
          </w:p>
        </w:tc>
      </w:tr>
      <w:tr w14:paraId="12C7809C">
        <w:tc>
          <w:tcPr>
            <w:tcW w:w="12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C62B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M3 触点载体及载体内容</w:t>
            </w:r>
          </w:p>
        </w:tc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3A0A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0C4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4875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3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710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touchpoint_assets、touchpoint_payloads</w:t>
            </w:r>
          </w:p>
        </w:tc>
        <w:tc>
          <w:tcPr>
            <w:tcW w:w="8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79B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载体、写入内容、核验页</w:t>
            </w:r>
          </w:p>
        </w:tc>
        <w:tc>
          <w:tcPr>
            <w:tcW w:w="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CBFC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载体资产、写入内容、核验和外部登记接口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19A7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external_sync_status仅表示Payload外部登记/核验；不替代M6发布状态</w:t>
            </w:r>
          </w:p>
        </w:tc>
      </w:tr>
      <w:tr w14:paraId="68293ECC">
        <w:tc>
          <w:tcPr>
            <w:tcW w:w="12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9F5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M4 触点载体—客户经理绑定生命周期</w:t>
            </w:r>
          </w:p>
        </w:tc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4AA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8E1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AB2E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3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0A6A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touchpoint_manager_assignments</w:t>
            </w:r>
          </w:p>
        </w:tc>
        <w:tc>
          <w:tcPr>
            <w:tcW w:w="8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DA0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绑定操作页待设计</w:t>
            </w:r>
          </w:p>
        </w:tc>
        <w:tc>
          <w:tcPr>
            <w:tcW w:w="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EF28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绑定/解绑/转交接口待定义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187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绑定状态由 M4 决定</w:t>
            </w:r>
          </w:p>
        </w:tc>
      </w:tr>
      <w:tr w14:paraId="6EF5AB0E">
        <w:tc>
          <w:tcPr>
            <w:tcW w:w="12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0E3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M5 目标资源管理（业务地址）</w:t>
            </w:r>
          </w:p>
        </w:tc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9E6E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8936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643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3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FE0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target_resources</w:t>
            </w:r>
          </w:p>
        </w:tc>
        <w:tc>
          <w:tcPr>
            <w:tcW w:w="8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4A59A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地址页待设计</w:t>
            </w:r>
          </w:p>
        </w:tc>
        <w:tc>
          <w:tcPr>
            <w:tcW w:w="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C7C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目标资源维护、引用查询和影响预览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A44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不直接维护外部跳转事实</w:t>
            </w:r>
          </w:p>
        </w:tc>
      </w:tr>
      <w:tr w14:paraId="603146FC">
        <w:tc>
          <w:tcPr>
            <w:tcW w:w="12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DBF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M6 路由规则配置与发布</w:t>
            </w:r>
          </w:p>
        </w:tc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A2A4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7E5E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3D62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3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D84B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routing_rules</w:t>
            </w:r>
          </w:p>
        </w:tc>
        <w:tc>
          <w:tcPr>
            <w:tcW w:w="8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DDC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规则页待设计</w:t>
            </w:r>
          </w:p>
        </w:tc>
        <w:tc>
          <w:tcPr>
            <w:tcW w:w="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28A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规则维护、影响预览、发布和状态查询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86DC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version_no/publish_status描述路由发布；写LinkForty走API</w:t>
            </w:r>
          </w:p>
        </w:tc>
      </w:tr>
      <w:tr w14:paraId="40DABDFC">
        <w:tc>
          <w:tcPr>
            <w:tcW w:w="12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D945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M7 触碰事件接入与关联</w:t>
            </w:r>
          </w:p>
        </w:tc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D75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962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159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3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F0661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access_events + LinkForty.click_events/links只读引用</w:t>
            </w:r>
          </w:p>
        </w:tc>
        <w:tc>
          <w:tcPr>
            <w:tcW w:w="8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D4868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触碰查询页待设计</w:t>
            </w:r>
          </w:p>
        </w:tc>
        <w:tc>
          <w:tcPr>
            <w:tcW w:w="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6EA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Webhook、访问事件查询、解析状态和补偿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49619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不分区；UNIQUE(event_id)；click_id非唯一</w:t>
            </w:r>
          </w:p>
        </w:tc>
      </w:tr>
      <w:tr w14:paraId="7CE542FA">
        <w:tc>
          <w:tcPr>
            <w:tcW w:w="12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14FB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M8 统计分析</w:t>
            </w:r>
          </w:p>
        </w:tc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3B1C3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core/src/routes/analytics.ts（参考）</w:t>
            </w:r>
          </w:p>
        </w:tc>
        <w:tc>
          <w:tcPr>
            <w:tcW w:w="1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F3442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待定义</w:t>
            </w:r>
          </w:p>
        </w:tc>
        <w:tc>
          <w:tcPr>
            <w:tcW w:w="1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01E7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受限只读数据访问</w:t>
            </w:r>
          </w:p>
        </w:tc>
        <w:tc>
          <w:tcPr>
            <w:tcW w:w="13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899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LinkForty事件表、access_events（只读）</w:t>
            </w:r>
          </w:p>
        </w:tc>
        <w:tc>
          <w:tcPr>
            <w:tcW w:w="8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2A1D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统计页待设计</w:t>
            </w:r>
          </w:p>
        </w:tc>
        <w:tc>
          <w:tcPr>
            <w:tcW w:w="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B6D0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统计查询和受权限控制的导出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2C54">
            <w:pPr>
              <w:spacing w:before="0" w:after="0" w:line="252" w:lineRule="auto"/>
              <w:jc w:val="left"/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M7/M8同库只读；业务办理量不纳入MVP验收</w:t>
            </w:r>
          </w:p>
        </w:tc>
      </w:tr>
      <w:tr w14:paraId="3E1CAD80">
        <w:tc>
          <w:tcPr>
            <w:tcW w:w="12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C74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LinkForty 外部适配</w:t>
            </w:r>
          </w:p>
        </w:tc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5C048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core/src/routes/links.ts、templates.ts、redirect.ts、webhooks.ts、sdk.ts</w:t>
            </w:r>
          </w:p>
        </w:tc>
        <w:tc>
          <w:tcPr>
            <w:tcW w:w="1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35905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core/src/lib/webhook.ts、link-resolution-cache.ts</w:t>
            </w:r>
          </w:p>
        </w:tc>
        <w:tc>
          <w:tcPr>
            <w:tcW w:w="1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CE5FE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core/src/lib/database.ts</w:t>
            </w:r>
          </w:p>
        </w:tc>
        <w:tc>
          <w:tcPr>
            <w:tcW w:w="13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E37F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LinkForty 现有源表与 Webhook API</w:t>
            </w:r>
          </w:p>
        </w:tc>
        <w:tc>
          <w:tcPr>
            <w:tcW w:w="8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0231B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ui/src/components/*</w:t>
            </w:r>
          </w:p>
        </w:tc>
        <w:tc>
          <w:tcPr>
            <w:tcW w:w="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5483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LinkForty API 适配接口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F263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3"/>
              </w:rPr>
              <w:t>属于外部协作技术落点，不替代银行业务模块</w:t>
            </w:r>
          </w:p>
        </w:tc>
      </w:tr>
    </w:tbl>
    <w:p w14:paraId="444C9ADD">
      <w:pPr>
        <w:pStyle w:val="3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32"/>
        </w:rPr>
        <w:t>12. 模块状态与研发拆分规则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300"/>
        <w:gridCol w:w="4560"/>
      </w:tblGrid>
      <w:tr w14:paraId="6DB73B18">
        <w:trPr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D4D1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7"/>
              </w:rPr>
              <w:t>状态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22D28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7"/>
              </w:rPr>
              <w:t>含义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A918B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7"/>
              </w:rPr>
              <w:t>研发和验收用法</w:t>
            </w:r>
          </w:p>
        </w:tc>
      </w:tr>
      <w:tr w14:paraId="6260E924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E271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已实现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EEDE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已有可验证实现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3C2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只列入已验证范围；新增设计必须单独标记</w:t>
            </w:r>
          </w:p>
        </w:tc>
      </w:tr>
      <w:tr w14:paraId="1C7B2619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2FCC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部分实现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463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部分流程已有技术落点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76F0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拆分已完成范围、缺口和新增测试范围</w:t>
            </w:r>
          </w:p>
        </w:tc>
      </w:tr>
      <w:tr w14:paraId="74AA5BA4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641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待开发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673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需求和边界已确定，尚未实现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3E35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可以拆分代码目录、接口、数据模型和测试任务</w:t>
            </w:r>
          </w:p>
        </w:tc>
      </w:tr>
      <w:tr w14:paraId="59726F94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A584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待确认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525D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业务规则、接口、权限或外部依赖尚未定稿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042E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不得写入确定验收标准；先形成确认任务</w:t>
            </w:r>
          </w:p>
        </w:tc>
      </w:tr>
      <w:tr w14:paraId="7D21639E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9FB52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规划项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64A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不纳入本期开发或验收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5CC2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不进入 MVP 完成条件</w:t>
            </w:r>
          </w:p>
        </w:tc>
      </w:tr>
      <w:tr w14:paraId="02603502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E35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建议项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BF6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技术或产品建议，不构成需求承诺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67FB9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7"/>
              </w:rPr>
              <w:t>须单独评估，不得视为现状或本期范围</w:t>
            </w:r>
          </w:p>
        </w:tc>
      </w:tr>
    </w:tbl>
    <w:p w14:paraId="3A452657">
      <w:pPr>
        <w:pStyle w:val="4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26"/>
        </w:rPr>
        <w:t>12.1 研发任务拆分规则</w:t>
      </w:r>
    </w:p>
    <w:p w14:paraId="52A9B052">
      <w:pPr>
        <w:pStyle w:val="16"/>
        <w:spacing w:after="80" w:line="280" w:lineRule="auto"/>
        <w:ind w:left="720" w:hanging="360"/>
      </w:pPr>
      <w:r>
        <w:rPr>
          <w:rFonts w:hint="eastAsia" w:ascii="Arial Unicode MS" w:hAnsi="Arial Unicode MS" w:eastAsia="Arial Unicode MS" w:cs="Arial Unicode MS"/>
          <w:color w:val="1F2933"/>
          <w:sz w:val="20"/>
        </w:rPr>
        <w:t>按业务模块拆分接口、服务、数据访问、页面、权限和测试，不按单个 DTO、Repository 或工具类建立独立业务模块。</w:t>
      </w:r>
    </w:p>
    <w:p w14:paraId="3B8492C8">
      <w:pPr>
        <w:pStyle w:val="16"/>
        <w:spacing w:after="80" w:line="280" w:lineRule="auto"/>
        <w:ind w:left="720" w:hanging="360"/>
      </w:pPr>
      <w:r>
        <w:rPr>
          <w:rFonts w:hint="eastAsia" w:ascii="Arial Unicode MS" w:hAnsi="Arial Unicode MS" w:eastAsia="Arial Unicode MS" w:cs="Arial Unicode MS"/>
          <w:color w:val="1F2933"/>
          <w:sz w:val="20"/>
        </w:rPr>
        <w:t>每个命令必须指定调用方、输入、唯一状态决定方、数据变化、输出、失败状态和幂等要求。</w:t>
      </w:r>
    </w:p>
    <w:p w14:paraId="08B23265">
      <w:pPr>
        <w:pStyle w:val="16"/>
        <w:spacing w:after="80" w:line="280" w:lineRule="auto"/>
        <w:ind w:left="720" w:hanging="360"/>
      </w:pPr>
      <w:r>
        <w:rPr>
          <w:rFonts w:hint="eastAsia" w:ascii="Arial Unicode MS" w:hAnsi="Arial Unicode MS" w:eastAsia="Arial Unicode MS" w:cs="Arial Unicode MS"/>
          <w:color w:val="1F2933"/>
          <w:sz w:val="20"/>
        </w:rPr>
        <w:t>每个查询必须指定数据范围、分页或聚合方式、数据来源、无数据表现和导出权限。</w:t>
      </w:r>
    </w:p>
    <w:p w14:paraId="4E0F9F82">
      <w:pPr>
        <w:pStyle w:val="16"/>
        <w:spacing w:after="80" w:line="280" w:lineRule="auto"/>
        <w:ind w:left="720" w:hanging="360"/>
      </w:pPr>
      <w:r>
        <w:rPr>
          <w:rFonts w:hint="eastAsia" w:ascii="Arial Unicode MS" w:hAnsi="Arial Unicode MS" w:eastAsia="Arial Unicode MS" w:cs="Arial Unicode MS"/>
          <w:color w:val="1F2933"/>
          <w:sz w:val="20"/>
        </w:rPr>
        <w:t>每个外部调用必须指定适配层、字段转换、超时、失败记录、复核和最终失败状态。</w:t>
      </w:r>
    </w:p>
    <w:p w14:paraId="640B719E">
      <w:pPr>
        <w:pStyle w:val="16"/>
        <w:spacing w:after="80" w:line="280" w:lineRule="auto"/>
        <w:ind w:left="720" w:hanging="360"/>
      </w:pPr>
      <w:r>
        <w:rPr>
          <w:rFonts w:hint="eastAsia" w:ascii="Arial Unicode MS" w:hAnsi="Arial Unicode MS" w:eastAsia="Arial Unicode MS" w:cs="Arial Unicode MS"/>
          <w:color w:val="1F2933"/>
          <w:sz w:val="20"/>
        </w:rPr>
        <w:t>每条验收流程必须能够映射到唯一责任模块，并覆盖成功、规则冲突、权限失败、外部失败和重复请求场景。</w:t>
      </w:r>
    </w:p>
    <w:p w14:paraId="6D9FD4EA">
      <w:r>
        <w:br w:type="page"/>
      </w:r>
    </w:p>
    <w:p w14:paraId="4FE92B7D">
      <w:pPr>
        <w:pStyle w:val="3"/>
        <w:keepNext/>
      </w:pPr>
      <w:r>
        <w:rPr>
          <w:rFonts w:hint="eastAsia" w:ascii="Arial Unicode MS" w:hAnsi="Arial Unicode MS" w:eastAsia="Arial Unicode MS" w:cs="Arial Unicode MS"/>
          <w:b/>
          <w:color w:val="2E74B5"/>
          <w:sz w:val="32"/>
        </w:rPr>
        <w:t>13. 待确认事项</w:t>
      </w:r>
    </w:p>
    <w:tbl>
      <w:tblPr>
        <w:tblStyle w:val="32"/>
        <w:tblW w:w="9360" w:type="dxa"/>
        <w:tblInd w:w="120" w:type="dxa"/>
        <w:tblBorders>
          <w:top w:val="single" w:color="B7C2CE" w:sz="6" w:space="0"/>
          <w:left w:val="single" w:color="B7C2CE" w:sz="6" w:space="0"/>
          <w:bottom w:val="single" w:color="B7C2CE" w:sz="6" w:space="0"/>
          <w:right w:val="single" w:color="B7C2CE" w:sz="6" w:space="0"/>
          <w:insideH w:val="single" w:color="B7C2CE" w:sz="6" w:space="0"/>
          <w:insideV w:val="single" w:color="B7C2C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700"/>
        <w:gridCol w:w="5300"/>
        <w:gridCol w:w="1660"/>
      </w:tblGrid>
      <w:tr w14:paraId="4D3E0DCA">
        <w:trPr>
          <w:tblHeader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5D34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编号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02E0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主题</w:t>
            </w:r>
          </w:p>
        </w:tc>
        <w:tc>
          <w:tcPr>
            <w:tcW w:w="5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9EEAC">
            <w:pPr>
              <w:spacing w:before="0" w:after="0" w:line="252" w:lineRule="auto"/>
              <w:jc w:val="center"/>
            </w:pPr>
            <w:r>
              <w:rPr>
                <w:rFonts w:hint="eastAsia" w:ascii="Hiragino Sans GB" w:hAnsi="Hiragino Sans GB" w:eastAsia="Hiragino Sans GB" w:cs="Hiragino Sans GB"/>
                <w:b/>
                <w:color w:val="0B2545"/>
                <w:sz w:val="16"/>
              </w:rPr>
              <w:t>待确认内容</w:t>
            </w:r>
          </w:p>
        </w:tc>
        <w:tc>
          <w:tcPr>
            <w:tcW w:w="1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BFB2">
            <w:pPr>
              <w:spacing w:before="0" w:after="0" w:line="252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0B2545"/>
                <w:sz w:val="16"/>
              </w:rPr>
              <w:t>责任确认方</w:t>
            </w:r>
          </w:p>
        </w:tc>
      </w:tr>
      <w:tr w14:paraId="068DF713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CD1D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C01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FB5B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Casdoor权限模型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3B7E">
            <w:r>
              <w:t>Casdoor作为身份、角色和功能权限权威；本地IAM同步频率、失败告警和组织范围适配规则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2647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安全/平台/业务方</w:t>
            </w:r>
          </w:p>
        </w:tc>
      </w:tr>
      <w:tr w14:paraId="49A92E9C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9B6AF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C02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97D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JWT验证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C987">
            <w:r>
              <w:t>JWKS/公钥获取与轮换；issuer、audience、时钟偏差和subject规范；本地iam_users停用策略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40C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安全/平台方</w:t>
            </w:r>
          </w:p>
        </w:tc>
      </w:tr>
      <w:tr w14:paraId="212C1942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694D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C03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8DBB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审计与日志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C1F4">
            <w:r>
              <w:t>operation_logs作为一期操作记录；运行日志可接入银行日志平台；字段、保留期和归档方式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5C0EE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安全/运维方</w:t>
            </w:r>
          </w:p>
        </w:tc>
      </w:tr>
      <w:tr w14:paraId="06E831C1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6A66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C04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B43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绑定批量事务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B61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批量命令是全部成功才提交，还是允许逐条成功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D3C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业务/后端方</w:t>
            </w:r>
          </w:p>
        </w:tc>
      </w:tr>
      <w:tr w14:paraId="1106CE93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AD65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C05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D577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实时路由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D462">
            <w:r>
              <w:t>MVP采用发布到LinkForty当前配置；每次点击实时匹配作为后续扩展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9EC0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产品/架构方</w:t>
            </w:r>
          </w:p>
        </w:tc>
      </w:tr>
      <w:tr w14:paraId="65981EE9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F2F3E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C06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427A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规则版本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EABD">
            <w:r>
              <w:t>version_no、publish_status和发布结果按routing_rules落库；独立回滚快照是否需要另行确认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0FAA6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产品/架构方</w:t>
            </w:r>
          </w:p>
        </w:tc>
      </w:tr>
      <w:tr w14:paraId="4B3B012E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A0F5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C07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FE27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Webhook协议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4E571">
            <w:r>
              <w:t>签名算法、event_id必填和全局幂等、事件时间、补偿、重放和失败终态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AA56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LinkForty/后端方</w:t>
            </w:r>
          </w:p>
        </w:tc>
      </w:tr>
      <w:tr w14:paraId="49AA0C7F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3F17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C08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49EA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触碰失败记录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3E6E5">
            <w:r>
              <w:t>无法识别触点载体、关联失败和解析失败写入access_events的解析状态，运行错误另记运行日志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DFF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业务/后端方</w:t>
            </w:r>
          </w:p>
        </w:tc>
      </w:tr>
      <w:tr w14:paraId="29EA5D36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C880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C09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E8518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统计口径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5A60A">
            <w:r>
              <w:t>点击使用click_events.clicked_at，访问使用access_events.received_at，安装使用install_events.installed_at，App事件使用in_app_events.event_timestamp；默认排除机器人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C1C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产品/数据方</w:t>
            </w:r>
          </w:p>
        </w:tc>
      </w:tr>
      <w:tr w14:paraId="657AEBE3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693E4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C10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BA15D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银行业务回传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E44D2">
            <w:r>
              <w:t>办理量、金额、转化结果作为后续外部扩展；未完成接口契约前不纳入MVP正式验收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61E9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银行业务系统方</w:t>
            </w:r>
          </w:p>
        </w:tc>
      </w:tr>
      <w:tr w14:paraId="5D7E2943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FEDA5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C11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2283F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外部发布补偿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FE7C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LinkForty API超时、重复请求、本地事务失败、缓存失效和对账的处理方式；M3/M6状态分别维护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46C64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架构/运维方</w:t>
            </w:r>
          </w:p>
        </w:tc>
      </w:tr>
      <w:tr w14:paraId="2B46AAFF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2836">
            <w:pPr>
              <w:spacing w:before="0" w:after="0" w:line="252" w:lineRule="auto"/>
              <w:jc w:val="left"/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1F2933"/>
                <w:sz w:val="16"/>
              </w:rPr>
              <w:t>C12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53251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数据生命周期与只读授权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F48FC">
            <w:r>
              <w:t>access_events不分区后的保留/归档；M7/M8 SELECT白名单；LinkForty DML/DDL/TRUNCATE拒绝与审计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FE50">
            <w:pPr>
              <w:spacing w:before="0" w:after="0" w:line="252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color w:val="1F2933"/>
                <w:sz w:val="16"/>
              </w:rPr>
              <w:t>数据/运维/安全方</w:t>
            </w:r>
          </w:p>
        </w:tc>
      </w:tr>
    </w:tbl>
    <w:p w14:paraId="28C6EE28"/>
    <w:p>
      <w:pPr>
        <w:pStyle w:val="3"/>
        <w:keepNext/>
      </w:pPr>
      <w:r>
        <w:t>14. V2.2 更新日志</w:t>
      </w:r>
    </w:p>
    <w:p>
      <w:pPr>
        <w:pStyle w:val="16"/>
        <w:keepLines/>
      </w:pPr>
      <w:r>
        <w:t>2026-08-13：确认 V2.1 为最终历史基线，V1.0、V2.0、V3.0 降级为历史设计材料。</w:t>
      </w:r>
    </w:p>
    <w:p>
      <w:pPr>
        <w:pStyle w:val="16"/>
        <w:keepLines/>
      </w:pPr>
      <w:r>
        <w:t>2026-08-13：Casdoor 调整为身份、角色和功能权限权威；本地 IAM 调整为主体、API 与银行组织数据范围适配投影。</w:t>
      </w:r>
    </w:p>
    <w:p>
      <w:pPr>
        <w:pStyle w:val="16"/>
        <w:keepLines/>
      </w:pPr>
      <w:r>
        <w:t>2026-08-13：access_events 调整为不分区，event_id 全局唯一，click_id 仅作非唯一逻辑引用。</w:t>
      </w:r>
    </w:p>
    <w:p>
      <w:pPr>
        <w:pStyle w:val="16"/>
        <w:keepLines/>
      </w:pPr>
      <w:r>
        <w:t>2026-08-13：明确 M7/M8 可同库只读指定 LinkForty 表，所有平台写入必须走 API；M3 与 M6 状态分别维护。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3B79D">
    <w:pPr>
      <w:pStyle w:val="24"/>
      <w:spacing w:before="0"/>
      <w:jc w:val="right"/>
    </w:pPr>
    <w:r>
      <w:rPr>
        <w:rFonts w:hint="eastAsia" w:ascii="Arial Unicode MS" w:hAnsi="Arial Unicode MS" w:eastAsia="Arial Unicode MS" w:cs="Arial Unicode MS"/>
        <w:color w:val="5B6770"/>
        <w:sz w:val="17"/>
      </w:rPr>
      <w:t xml:space="preserve">研发设计文件  |  2026-08-13  |  </w:t>
    </w:r>
    <w:r>
      <w:rPr>
        <w:rFonts w:ascii="Hiragino Sans GB" w:hAnsi="Hiragino Sans GB" w:eastAsia="Hiragino Sans GB" w:cs="Hiragino Sans GB"/>
      </w:rP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A9F7D">
    <w:pPr>
      <w:pStyle w:val="25"/>
      <w:spacing w:after="0"/>
      <w:jc w:val="left"/>
    </w:pPr>
    <w:r>
      <w:rPr>
        <w:rFonts w:hint="eastAsia" w:ascii="Hiragino Sans GB" w:hAnsi="Hiragino Sans GB" w:eastAsia="Hiragino Sans GB" w:cs="Hiragino Sans GB"/>
        <w:color w:val="5B6770"/>
        <w:sz w:val="17"/>
      </w:rPr>
      <w:t>银行碰一碰卡后台管理系统  /  MVP功能模块划分分析方案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EFEDFF"/>
    <w:rsid w:val="6FFF98D6"/>
    <w:rsid w:val="772FE260"/>
    <w:rsid w:val="77631969"/>
    <w:rsid w:val="7F4E5482"/>
    <w:rsid w:val="B84A7149"/>
    <w:rsid w:val="BB5F3A5C"/>
    <w:rsid w:val="EFFFE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hint="eastAsia" w:ascii="Arial Unicode MS" w:hAnsi="Arial Unicode MS" w:eastAsia="Arial Unicode MS" w:cs="Arial Unicode MS"/>
      <w:color w:val="1F29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hint="eastAsia"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hint="eastAsia"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hint="eastAsia"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80" w:lineRule="auto"/>
      <w:contextualSpacing/>
    </w:pPr>
    <w:rPr>
      <w:rFonts w:hint="eastAsia" w:ascii="Arial Unicode MS" w:hAnsi="Arial Unicode MS" w:eastAsia="Arial Unicode MS" w:cs="Arial Unicode MS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80" w:lineRule="auto"/>
      <w:contextualSpacing/>
    </w:pPr>
    <w:rPr>
      <w:rFonts w:hint="eastAsia" w:ascii="Arial Unicode MS" w:hAnsi="Arial Unicode MS" w:eastAsia="Arial Unicode MS" w:cs="Arial Unicode MS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80" w:line="280" w:lineRule="auto"/>
      <w:contextualSpacing/>
    </w:pPr>
    <w:rPr>
      <w:rFonts w:hint="eastAsia" w:ascii="Arial Unicode MS" w:hAnsi="Arial Unicode MS" w:eastAsia="Arial Unicode MS" w:cs="Arial Unicode MS"/>
      <w:sz w:val="2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2013-12-25T23:15:00Z</dcterms:created>
  <dc:creator>OpenAI Codex</dc:creator>
  <dc:description>generated by python-docx</dc:description>
  <cp:keywords>NFC, MVP, 模块划分, 职责边界, 数据归属, 接口, 测试</cp:keywords>
  <cp:lastModifiedBy>诗酒趁年华</cp:lastModifiedBy>
  <dcterms:modified xsi:type="dcterms:W3CDTF">2026-08-07T09:50:13Z</dcterms:modified>
  <dc:subject>Casdoor/IAM、Webhook全局幂等与LinkForty只读边界修订</dc:subject>
  <dc:title>银行触点载体管理系统 MVP 功能模块划分分析方案 V2.2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B586186D3858B12E2533756A41EEFC5A_43</vt:lpwstr>
  </property>
</Properties>
</file>