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F91D7">
      <w:pPr>
        <w:pStyle w:val="31"/>
      </w:pPr>
      <w:r>
        <w:rPr>
          <w:rFonts w:ascii="Calibri" w:hAnsi="Calibri" w:eastAsia="Hiragino Sans GB"/>
          <w:b/>
          <w:color w:val="1F2933"/>
          <w:sz w:val="56"/>
        </w:rPr>
        <w:t>bank-touchpoint-platform</w:t>
      </w:r>
    </w:p>
    <w:p w14:paraId="3BDEC595">
      <w:pPr>
        <w:pStyle w:val="26"/>
      </w:pPr>
      <w:r>
        <w:rPr>
          <w:rFonts w:ascii="Calibri" w:hAnsi="Calibri" w:eastAsia="Hiragino Sans GB"/>
          <w:color w:val="2E74B5"/>
          <w:sz w:val="32"/>
        </w:rPr>
        <w:t>项目目录建设与说明</w:t>
      </w:r>
    </w:p>
    <w:p w14:paraId="4D0F6CE3">
      <w:pPr>
        <w:spacing w:after="40"/>
      </w:pPr>
      <w:r>
        <w:rPr>
          <w:rFonts w:ascii="Calibri" w:hAnsi="Calibri" w:eastAsia="Hiragino Sans GB"/>
          <w:b/>
          <w:color w:val="5F6368"/>
          <w:sz w:val="22"/>
        </w:rPr>
        <w:t xml:space="preserve">版本  </w:t>
      </w:r>
      <w:r>
        <w:rPr>
          <w:rFonts w:ascii="Calibri" w:hAnsi="Calibri" w:eastAsia="Hiragino Sans GB"/>
          <w:color w:val="5F6368"/>
          <w:sz w:val="22"/>
        </w:rPr>
        <w:t>V1.0</w:t>
      </w:r>
    </w:p>
    <w:p w14:paraId="53930F3A">
      <w:pPr>
        <w:spacing w:after="40"/>
      </w:pPr>
      <w:r>
        <w:rPr>
          <w:rFonts w:ascii="Calibri" w:hAnsi="Calibri" w:eastAsia="Hiragino Sans GB"/>
          <w:b/>
          <w:color w:val="5F6368"/>
          <w:sz w:val="22"/>
        </w:rPr>
        <w:t xml:space="preserve">文档性质  </w:t>
      </w:r>
      <w:r>
        <w:rPr>
          <w:rFonts w:ascii="Calibri" w:hAnsi="Calibri" w:eastAsia="Hiragino Sans GB"/>
          <w:color w:val="5F6368"/>
          <w:sz w:val="22"/>
        </w:rPr>
        <w:t>建设目标与协作说明</w:t>
      </w:r>
    </w:p>
    <w:p w14:paraId="34A6C3B8">
      <w:pPr>
        <w:spacing w:after="40"/>
      </w:pPr>
      <w:r>
        <w:rPr>
          <w:rFonts w:ascii="Calibri" w:hAnsi="Calibri" w:eastAsia="Hiragino Sans GB"/>
          <w:b/>
          <w:color w:val="5F6368"/>
          <w:sz w:val="22"/>
        </w:rPr>
        <w:t xml:space="preserve">适用范围  </w:t>
      </w:r>
      <w:r>
        <w:rPr>
          <w:rFonts w:ascii="Calibri" w:hAnsi="Calibri" w:eastAsia="Hiragino Sans GB"/>
          <w:color w:val="5F6368"/>
          <w:sz w:val="22"/>
        </w:rPr>
        <w:t>项目初始化、协作开发、跨仓库联调</w:t>
      </w:r>
    </w:p>
    <w:p w14:paraId="60549D7A">
      <w:pPr>
        <w:spacing w:after="40"/>
      </w:pPr>
      <w:r>
        <w:rPr>
          <w:rFonts w:ascii="Calibri" w:hAnsi="Calibri" w:eastAsia="Hiragino Sans GB"/>
          <w:b/>
          <w:color w:val="5F6368"/>
          <w:sz w:val="22"/>
        </w:rPr>
        <w:t xml:space="preserve">日期  </w:t>
      </w:r>
      <w:r>
        <w:rPr>
          <w:rFonts w:ascii="Calibri" w:hAnsi="Calibri" w:eastAsia="Hiragino Sans GB"/>
          <w:color w:val="5F6368"/>
          <w:sz w:val="22"/>
        </w:rPr>
        <w:t>2026 年 8 月 17 日</w:t>
      </w:r>
    </w:p>
    <w:tbl>
      <w:tblPr>
        <w:tblStyle w:val="32"/>
        <w:tblW w:w="912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6918CCD2">
        <w:tc>
          <w:tcPr>
            <w:tcW w:w="9120" w:type="dxa"/>
            <w:tcBorders>
              <w:top w:val="single" w:color="B8CBE0" w:sz="8" w:space="0"/>
              <w:left w:val="single" w:color="B8CBE0" w:sz="8" w:space="0"/>
              <w:bottom w:val="single" w:color="B8CBE0" w:sz="8" w:space="0"/>
              <w:right w:val="single" w:color="B8CBE0" w:sz="8" w:space="0"/>
              <w:insideH w:val="single" w:sz="8" w:space="0"/>
              <w:insideV w:val="single" w:sz="8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AE61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0"/>
              </w:rPr>
              <w:t xml:space="preserve">阅读提示  </w:t>
            </w:r>
            <w:r>
              <w:rPr>
                <w:rFonts w:ascii="Calibri" w:hAnsi="Calibri" w:eastAsia="Hiragino Sans GB"/>
                <w:color w:val="1F2933"/>
                <w:sz w:val="20"/>
              </w:rPr>
              <w:t>本文描述平台项目的目标目录、职责边界和建设顺序，不等同于当前代码已完成状态。正式需求、架构、API、数据库和测试基线继续由 docs 仓库维护。</w:t>
            </w:r>
          </w:p>
        </w:tc>
      </w:tr>
    </w:tbl>
    <w:p w14:paraId="22997004">
      <w:pPr>
        <w:spacing w:after="0"/>
      </w:pPr>
    </w:p>
    <w:p w14:paraId="0544A759">
      <w:r>
        <w:br w:type="page"/>
      </w:r>
    </w:p>
    <w:p w14:paraId="2D11695C">
      <w:pPr>
        <w:pStyle w:val="163"/>
      </w:pPr>
      <w:r>
        <w:rPr>
          <w:rFonts w:ascii="Calibri" w:hAnsi="Calibri" w:eastAsia="Hiragino Sans GB"/>
          <w:b/>
          <w:color w:val="2E74B5"/>
          <w:sz w:val="32"/>
        </w:rPr>
        <w:t>目录</w:t>
      </w:r>
    </w:p>
    <w:p w14:paraId="3B464245"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eastAsia="Hiragino Sans GB"/>
          <w:color w:val="1F2933"/>
          <w:sz w:val="20"/>
        </w:rPr>
        <w:t>1. 文档目的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2. 仓库关系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3. 推荐目录结构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4. 一级目录说明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5. 后端模块内部结构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6. M1～M8 模块对应关系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7. 公共代码管理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8. 外部系统集成目录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9. 数据库迁移规则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10. 接口规范管理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11. 根目录重要文件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12. Git 协作方式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13. 项目建设顺序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14. 开发前完成标准</w:t>
      </w:r>
      <w:r>
        <w:rPr>
          <w:rFonts w:ascii="Calibri" w:hAnsi="Calibri" w:eastAsia="Hiragino Sans GB"/>
          <w:color w:val="1F2933"/>
          <w:sz w:val="20"/>
        </w:rPr>
        <w:br w:type="textWrapping"/>
      </w:r>
      <w:r>
        <w:rPr>
          <w:rFonts w:ascii="Calibri" w:hAnsi="Calibri" w:eastAsia="Hiragino Sans GB"/>
          <w:color w:val="1F2933"/>
          <w:sz w:val="20"/>
        </w:rPr>
        <w:t>15. 目录建设结论</w:t>
      </w:r>
      <w:r>
        <w:rPr>
          <w:rFonts w:ascii="Calibri" w:hAnsi="Calibri" w:eastAsia="Hiragino Sans GB"/>
          <w:color w:val="1F2933"/>
          <w:sz w:val="20"/>
        </w:rPr>
        <w:fldChar w:fldCharType="end"/>
      </w:r>
    </w:p>
    <w:p w14:paraId="52670F48">
      <w:pPr>
        <w:pStyle w:val="165"/>
      </w:pPr>
      <w:r>
        <w:rPr>
          <w:rFonts w:ascii="Calibri" w:hAnsi="Calibri" w:eastAsia="Hiragino Sans GB"/>
          <w:color w:val="5F6368"/>
          <w:sz w:val="19"/>
        </w:rPr>
        <w:t>打开文档后可在 Word 中右键更新目录；渲染器会在可用时自动更新字段。</w:t>
      </w:r>
    </w:p>
    <w:p w14:paraId="4E019FD2">
      <w:r>
        <w:br w:type="page"/>
      </w:r>
    </w:p>
    <w:p w14:paraId="034A94AB">
      <w:pPr>
        <w:pStyle w:val="3"/>
        <w:keepNext/>
      </w:pPr>
      <w:r>
        <w:t>1. 文档目的</w:t>
      </w:r>
    </w:p>
    <w:p w14:paraId="72ED5570">
      <w:r>
        <w:rPr>
          <w:rFonts w:ascii="Calibri" w:hAnsi="Calibri" w:eastAsia="Hiragino Sans GB"/>
          <w:color w:val="1F2933"/>
          <w:sz w:val="22"/>
        </w:rPr>
        <w:t>本文用于说明 bank-touchpoint-platform 银行触点载体管理平台的项目目录建设目标、仓库边界、模块职责和协作规则。平台面向银行 NFC 触点载体、载体内容、客户经理绑定、目标资源、路由规则、访问事件和统计分析等业务能力。</w:t>
      </w:r>
    </w:p>
    <w:p w14:paraId="4D4A4392">
      <w:r>
        <w:rPr>
          <w:rFonts w:ascii="Calibri" w:hAnsi="Calibri" w:eastAsia="Hiragino Sans GB"/>
          <w:color w:val="1F2933"/>
          <w:sz w:val="22"/>
        </w:rPr>
        <w:t>本文适用于项目初始化、协作开发、跨仓库联调、代码审核和后续目录演进。它说明的是目标工程组织方式，不把设计目录、接口草稿或静态页面表述为已经完成的实现。</w:t>
      </w:r>
    </w:p>
    <w:p w14:paraId="56F0CFDE">
      <w:pPr>
        <w:pStyle w:val="16"/>
      </w:pPr>
      <w:r>
        <w:rPr>
          <w:rFonts w:ascii="Calibri" w:hAnsi="Calibri" w:eastAsia="Hiragino Sans GB"/>
          <w:color w:val="1F2933"/>
          <w:sz w:val="22"/>
        </w:rPr>
        <w:t>bank-touchpoint-backend 承载银行后台业务 API、数据库、权限、外部集成和异步任务。</w:t>
      </w:r>
    </w:p>
    <w:p w14:paraId="60C02CCC">
      <w:pPr>
        <w:pStyle w:val="16"/>
      </w:pPr>
      <w:r>
        <w:rPr>
          <w:rFonts w:ascii="Calibri" w:hAnsi="Calibri" w:eastAsia="Hiragino Sans GB"/>
          <w:color w:val="1F2933"/>
          <w:sz w:val="22"/>
        </w:rPr>
        <w:t>bank-touchpoint-frontend 承载银行管理后台页面、交互、查询缓存和权限展示。</w:t>
      </w:r>
    </w:p>
    <w:p w14:paraId="6CA50AB9">
      <w:pPr>
        <w:pStyle w:val="16"/>
      </w:pPr>
      <w:r>
        <w:rPr>
          <w:rFonts w:ascii="Calibri" w:hAnsi="Calibri" w:eastAsia="Hiragino Sans GB"/>
          <w:color w:val="1F2933"/>
          <w:sz w:val="22"/>
        </w:rPr>
        <w:t>docs 作为正式需求、架构、OpenAPI、数据库、测试和安全基线的权威来源。</w:t>
      </w:r>
    </w:p>
    <w:p w14:paraId="45B0B544">
      <w:pPr>
        <w:pStyle w:val="16"/>
      </w:pPr>
      <w:r>
        <w:rPr>
          <w:rFonts w:ascii="Calibri" w:hAnsi="Calibri" w:eastAsia="Hiragino Sans GB"/>
          <w:color w:val="1F2933"/>
          <w:sz w:val="22"/>
        </w:rPr>
        <w:t>LinkForty Core 作为外部系统参考项目保持独立，银行平台不复制其源码。</w:t>
      </w:r>
    </w:p>
    <w:tbl>
      <w:tblPr>
        <w:tblStyle w:val="32"/>
        <w:tblW w:w="912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2DECCA85">
        <w:tc>
          <w:tcPr>
            <w:tcW w:w="9120" w:type="dxa"/>
            <w:tcBorders>
              <w:top w:val="single" w:color="B8CBE0" w:sz="8" w:space="0"/>
              <w:left w:val="single" w:color="B8CBE0" w:sz="8" w:space="0"/>
              <w:bottom w:val="single" w:color="B8CBE0" w:sz="8" w:space="0"/>
              <w:right w:val="single" w:color="B8CBE0" w:sz="8" w:space="0"/>
              <w:insideH w:val="single" w:sz="8" w:space="0"/>
              <w:insideV w:val="single" w:sz="8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7AD2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0"/>
              </w:rPr>
              <w:t xml:space="preserve">边界原则  </w:t>
            </w:r>
            <w:r>
              <w:rPr>
                <w:rFonts w:ascii="Calibri" w:hAnsi="Calibri" w:eastAsia="Hiragino Sans GB"/>
                <w:color w:val="1F2933"/>
                <w:sz w:val="20"/>
              </w:rPr>
              <w:t>平台项目名称保留为 bank-touchpoint-platform，但不新增一个单体平台代码仓库；业务实现由两个独立仓库承载。</w:t>
            </w:r>
          </w:p>
        </w:tc>
      </w:tr>
    </w:tbl>
    <w:p w14:paraId="4C1C5FEF">
      <w:pPr>
        <w:spacing w:after="0"/>
      </w:pPr>
    </w:p>
    <w:p w14:paraId="377168F0">
      <w:pPr>
        <w:pStyle w:val="3"/>
        <w:keepNext/>
      </w:pPr>
      <w:r>
        <w:t>2. 仓库关系</w:t>
      </w:r>
    </w:p>
    <w:p w14:paraId="1EFAC0D4">
      <w:r>
        <w:rPr>
          <w:rFonts w:ascii="Calibri" w:hAnsi="Calibri" w:eastAsia="Hiragino Sans GB"/>
          <w:color w:val="1F2933"/>
          <w:sz w:val="22"/>
        </w:rPr>
        <w:t>最终工作区关系如下：</w:t>
      </w:r>
    </w:p>
    <w:p w14:paraId="5D1B1F1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workspace/</w:t>
      </w:r>
    </w:p>
    <w:p w14:paraId="6E72BD2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bank-touchpoint-backend/     # Python/FastAPI 后端</w:t>
      </w:r>
    </w:p>
    <w:p w14:paraId="26E7379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bank-touchpoint-frontend/    # React/TypeScript 管理后台</w:t>
      </w:r>
    </w:p>
    <w:p w14:paraId="0D8EB96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docs/                        # 产品、架构、API、数据库和测试基线</w:t>
      </w:r>
    </w:p>
    <w:p w14:paraId="34082CE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core/                        # LinkForty 外部系统参考项目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00"/>
        <w:gridCol w:w="3360"/>
      </w:tblGrid>
      <w:tr w14:paraId="237A2B36">
        <w:trPr>
          <w:tblHeader/>
        </w:trPr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E09E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目录/仓库</w:t>
            </w:r>
          </w:p>
        </w:tc>
        <w:tc>
          <w:tcPr>
            <w:tcW w:w="39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9EEF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职责</w:t>
            </w:r>
          </w:p>
        </w:tc>
        <w:tc>
          <w:tcPr>
            <w:tcW w:w="33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851F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边界</w:t>
            </w:r>
          </w:p>
        </w:tc>
      </w:tr>
      <w:tr w14:paraId="36130C18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068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bank-touchpoint-backend</w:t>
            </w:r>
          </w:p>
        </w:tc>
        <w:tc>
          <w:tcPr>
            <w:tcW w:w="39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21E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业务 API、数据库、权限、外部集成、Celery 异步任务</w:t>
            </w:r>
          </w:p>
        </w:tc>
        <w:tc>
          <w:tcPr>
            <w:tcW w:w="33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796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只写银行业务库；LinkForty 写操作必须走 API</w:t>
            </w:r>
          </w:p>
        </w:tc>
      </w:tr>
      <w:tr w14:paraId="672B2DD9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BDC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bank-touchpoint-frontend</w:t>
            </w:r>
          </w:p>
        </w:tc>
        <w:tc>
          <w:tcPr>
            <w:tcW w:w="39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AB8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银行管理后台页面、交互、查询缓存和类型使用</w:t>
            </w:r>
          </w:p>
        </w:tc>
        <w:tc>
          <w:tcPr>
            <w:tcW w:w="33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727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只能调用银行后台 API，不能直连数据库或 LinkForty</w:t>
            </w:r>
          </w:p>
        </w:tc>
      </w:tr>
      <w:tr w14:paraId="6EE65D88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BB8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docs</w:t>
            </w:r>
          </w:p>
        </w:tc>
        <w:tc>
          <w:tcPr>
            <w:tcW w:w="39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B38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需求、架构、OpenAPI、数据字典、权限、安全、测试基线</w:t>
            </w:r>
          </w:p>
        </w:tc>
        <w:tc>
          <w:tcPr>
            <w:tcW w:w="33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C01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正式规范来源；两个代码仓库不复制完整需求文档</w:t>
            </w:r>
          </w:p>
        </w:tc>
      </w:tr>
      <w:tr w14:paraId="55845E57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0BC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core / LinkForty Core</w:t>
            </w:r>
          </w:p>
        </w:tc>
        <w:tc>
          <w:tcPr>
            <w:tcW w:w="39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2A8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Link、短码、跳转运行时、原始事件和 Webhook 投递</w:t>
            </w:r>
          </w:p>
        </w:tc>
        <w:tc>
          <w:tcPr>
            <w:tcW w:w="33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EFB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独立外部系统；不复制源码，不直接执行其平台表 DML/DDL</w:t>
            </w:r>
          </w:p>
        </w:tc>
      </w:tr>
    </w:tbl>
    <w:p w14:paraId="1DF06B95">
      <w:pPr>
        <w:spacing w:after="0"/>
      </w:pPr>
    </w:p>
    <w:p w14:paraId="028276D5">
      <w:r>
        <w:rPr>
          <w:rFonts w:ascii="Calibri" w:hAnsi="Calibri" w:eastAsia="Hiragino Sans GB"/>
          <w:color w:val="1F2933"/>
          <w:sz w:val="22"/>
        </w:rPr>
        <w:t>本期不纳入两个业务仓库的目录：</w:t>
      </w:r>
    </w:p>
    <w:p w14:paraId="36F0DCD9">
      <w:pPr>
        <w:pStyle w:val="16"/>
      </w:pPr>
      <w:r>
        <w:rPr>
          <w:rFonts w:ascii="Calibri" w:hAnsi="Calibri" w:eastAsia="Hiragino Sans GB"/>
          <w:color w:val="1F2933"/>
          <w:sz w:val="22"/>
        </w:rPr>
        <w:t>landing-h5/：后置的真实 H5 或业务落地页工程。</w:t>
      </w:r>
    </w:p>
    <w:p w14:paraId="5DC0D5DD">
      <w:pPr>
        <w:pStyle w:val="16"/>
      </w:pPr>
      <w:r>
        <w:rPr>
          <w:rFonts w:ascii="Calibri" w:hAnsi="Calibri" w:eastAsia="Hiragino Sans GB"/>
          <w:color w:val="1F2933"/>
          <w:sz w:val="22"/>
        </w:rPr>
        <w:t>reference-clients/：后置的演示客户端或参考客户端工程。</w:t>
      </w:r>
    </w:p>
    <w:p w14:paraId="54F9BAA9">
      <w:pPr>
        <w:pStyle w:val="3"/>
        <w:keepNext/>
      </w:pPr>
      <w:r>
        <w:t>3. 推荐目录结构</w:t>
      </w:r>
    </w:p>
    <w:p w14:paraId="3D0BFDBC">
      <w:pPr>
        <w:pStyle w:val="4"/>
        <w:keepNext/>
      </w:pPr>
      <w:r>
        <w:t>3.1 工作区结构</w:t>
      </w:r>
    </w:p>
    <w:p w14:paraId="76A3F85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workspace/</w:t>
      </w:r>
    </w:p>
    <w:p w14:paraId="087354A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bank-touchpoint-backend/</w:t>
      </w:r>
    </w:p>
    <w:p w14:paraId="2E0D90F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src/app/</w:t>
      </w:r>
    </w:p>
    <w:p w14:paraId="760FCCD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alembic/</w:t>
      </w:r>
    </w:p>
    <w:p w14:paraId="2B39E3E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database/</w:t>
      </w:r>
    </w:p>
    <w:p w14:paraId="26EFEC4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scripts/</w:t>
      </w:r>
    </w:p>
    <w:p w14:paraId="590D90E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tests/</w:t>
      </w:r>
    </w:p>
    <w:p w14:paraId="6FA8D53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docs/</w:t>
      </w:r>
    </w:p>
    <w:p w14:paraId="6F640C0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└── .github/</w:t>
      </w:r>
    </w:p>
    <w:p w14:paraId="57644A3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bank-touchpoint-frontend/</w:t>
      </w:r>
    </w:p>
    <w:p w14:paraId="6BA9F1E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src/</w:t>
      </w:r>
    </w:p>
    <w:p w14:paraId="09599F4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tests/</w:t>
      </w:r>
    </w:p>
    <w:p w14:paraId="263E9A1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└── .github/</w:t>
      </w:r>
    </w:p>
    <w:p w14:paraId="70BCEA0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docs/</w:t>
      </w:r>
      <w:bookmarkStart w:id="0" w:name="_GoBack"/>
      <w:bookmarkEnd w:id="0"/>
    </w:p>
    <w:p w14:paraId="460F8E4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└── </w:t>
      </w:r>
      <w:r>
        <w:rPr>
          <w:rFonts w:hint="eastAsia"/>
          <w:color w:val="1F4D78"/>
          <w:sz w:val="18"/>
          <w:lang w:val="en-US" w:eastAsia="zh-CN"/>
        </w:rPr>
        <w:t>linkforty/</w:t>
      </w:r>
      <w:r>
        <w:rPr>
          <w:rFonts w:ascii="Courier New" w:hAnsi="Courier New" w:eastAsia="Hiragino Sans GB"/>
          <w:color w:val="1F4D78"/>
          <w:sz w:val="18"/>
        </w:rPr>
        <w:t>core/                        # LinkForty 外部系统参考项目</w:t>
      </w:r>
    </w:p>
    <w:p w14:paraId="22539238">
      <w:pPr>
        <w:pStyle w:val="4"/>
        <w:keepNext/>
      </w:pPr>
      <w:r>
        <w:t>3.2 后端完整目录树</w:t>
      </w:r>
    </w:p>
    <w:p w14:paraId="10783BD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bank-touchpoint-backend/</w:t>
      </w:r>
    </w:p>
    <w:p w14:paraId="63D86E2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src/app/</w:t>
      </w:r>
    </w:p>
    <w:p w14:paraId="76CBBCA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api/</w:t>
      </w:r>
    </w:p>
    <w:p w14:paraId="6C8F1FD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core/</w:t>
      </w:r>
    </w:p>
    <w:p w14:paraId="0DD8867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db/</w:t>
      </w:r>
    </w:p>
    <w:p w14:paraId="59B25EE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common/</w:t>
      </w:r>
    </w:p>
    <w:p w14:paraId="37483CD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modules/</w:t>
      </w:r>
    </w:p>
    <w:p w14:paraId="2E91B85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iam/                # M1</w:t>
      </w:r>
    </w:p>
    <w:p w14:paraId="033AABB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audit/              # M1</w:t>
      </w:r>
    </w:p>
    <w:p w14:paraId="41762A5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organizations/      # M2</w:t>
      </w:r>
    </w:p>
    <w:p w14:paraId="11401E1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touchpoints/        # M3</w:t>
      </w:r>
    </w:p>
    <w:p w14:paraId="6F237F5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assignments/        # M4</w:t>
      </w:r>
    </w:p>
    <w:p w14:paraId="6C5D519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resources/          # M5</w:t>
      </w:r>
    </w:p>
    <w:p w14:paraId="0F88E47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routing/            # M6</w:t>
      </w:r>
    </w:p>
    <w:p w14:paraId="21C4424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events/             # M7</w:t>
      </w:r>
    </w:p>
    <w:p w14:paraId="3B175A3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└── analytics/          # M8</w:t>
      </w:r>
    </w:p>
    <w:p w14:paraId="2D19731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integrations/</w:t>
      </w:r>
    </w:p>
    <w:p w14:paraId="039E5C6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└── workers/</w:t>
      </w:r>
    </w:p>
    <w:p w14:paraId="7085EF4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alembic/versions/</w:t>
      </w:r>
    </w:p>
    <w:p w14:paraId="17D5AC9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database/{seeds,checks}/</w:t>
      </w:r>
    </w:p>
    <w:p w14:paraId="6FEB51E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scripts/</w:t>
      </w:r>
    </w:p>
    <w:p w14:paraId="5716C4E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tests/</w:t>
      </w:r>
    </w:p>
    <w:p w14:paraId="0964D2A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docs/</w:t>
      </w:r>
    </w:p>
    <w:p w14:paraId="0A91B03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.github/</w:t>
      </w:r>
    </w:p>
    <w:p w14:paraId="3A8B8C4B">
      <w:pPr>
        <w:pStyle w:val="4"/>
        <w:keepNext/>
      </w:pPr>
      <w:r>
        <w:t>3.3 前端完整目录树</w:t>
      </w:r>
    </w:p>
    <w:p w14:paraId="318DE89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bank-touchpoint-frontend/</w:t>
      </w:r>
    </w:p>
    <w:p w14:paraId="4B842D6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src/</w:t>
      </w:r>
    </w:p>
    <w:p w14:paraId="3004DB0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app/</w:t>
      </w:r>
    </w:p>
    <w:p w14:paraId="555D97D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api/</w:t>
      </w:r>
    </w:p>
    <w:p w14:paraId="220447E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components/</w:t>
      </w:r>
    </w:p>
    <w:p w14:paraId="318E3E9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layouts/</w:t>
      </w:r>
    </w:p>
    <w:p w14:paraId="62321D7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modules/</w:t>
      </w:r>
    </w:p>
    <w:p w14:paraId="69B84D8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auth/               # M1</w:t>
      </w:r>
    </w:p>
    <w:p w14:paraId="29B2ED5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iam/                # M1</w:t>
      </w:r>
    </w:p>
    <w:p w14:paraId="3C4CF52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audit/              # M1</w:t>
      </w:r>
    </w:p>
    <w:p w14:paraId="0890EC9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organizations/      # M2</w:t>
      </w:r>
    </w:p>
    <w:p w14:paraId="36EC0D8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touchpoints/        # M3</w:t>
      </w:r>
    </w:p>
    <w:p w14:paraId="52DDA10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assignments/        # M4</w:t>
      </w:r>
    </w:p>
    <w:p w14:paraId="196E5AE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resources/          # M5</w:t>
      </w:r>
    </w:p>
    <w:p w14:paraId="03A99F1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routing/            # M6</w:t>
      </w:r>
    </w:p>
    <w:p w14:paraId="4CF6B82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├── events/             # M7</w:t>
      </w:r>
    </w:p>
    <w:p w14:paraId="61372A0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│   └── analytics/          # M8</w:t>
      </w:r>
    </w:p>
    <w:p w14:paraId="1D74917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routes/</w:t>
      </w:r>
    </w:p>
    <w:p w14:paraId="2E0DF98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stores/</w:t>
      </w:r>
    </w:p>
    <w:p w14:paraId="478454C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types/</w:t>
      </w:r>
    </w:p>
    <w:p w14:paraId="446FBC4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└── utils/</w:t>
      </w:r>
    </w:p>
    <w:p w14:paraId="5C1D1CB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tests/</w:t>
      </w:r>
    </w:p>
    <w:p w14:paraId="3F3723F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.github/</w:t>
      </w:r>
    </w:p>
    <w:p w14:paraId="07E94304">
      <w:pPr>
        <w:pStyle w:val="4"/>
        <w:keepNext/>
      </w:pPr>
      <w:r>
        <w:t>3.4 保留、合并、移动、删除和后置目录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800"/>
        <w:gridCol w:w="4860"/>
      </w:tblGrid>
      <w:tr w14:paraId="73302535">
        <w:trPr>
          <w:tblHeader/>
        </w:trPr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3C59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动作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0E3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目录或内容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C352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处理原则</w:t>
            </w:r>
          </w:p>
        </w:tc>
      </w:tr>
      <w:tr w14:paraId="68BA4599"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343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保留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F13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docs/、core/LinkForty Core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13E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分别作为规范基线和外部系统参考项目维护</w:t>
            </w:r>
          </w:p>
        </w:tc>
      </w:tr>
      <w:tr w14:paraId="3E954FF5"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175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合并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9CC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各模块内部的同类业务职责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7EC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按业务模块聚合 router、service、repository 等固定职责</w:t>
            </w:r>
          </w:p>
        </w:tc>
      </w:tr>
      <w:tr w14:paraId="4A285FD9"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BD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移动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682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跨模块公共基础能力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BC1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移动到 core、db 或 common，保持边界清晰</w:t>
            </w:r>
          </w:p>
        </w:tc>
      </w:tr>
      <w:tr w14:paraId="68F43B90"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40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删除/不新建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9A3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全局 services/、repositories/、models/、schemas/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E7A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不建立全局业务型目录，避免重复维护</w:t>
            </w:r>
          </w:p>
        </w:tc>
      </w:tr>
      <w:tr w14:paraId="7D32F035">
        <w:tc>
          <w:tcPr>
            <w:tcW w:w="17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75D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后置</w:t>
            </w:r>
          </w:p>
        </w:tc>
        <w:tc>
          <w:tcPr>
            <w:tcW w:w="2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76F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landing-h5/、reference-clients/</w:t>
            </w:r>
          </w:p>
        </w:tc>
        <w:tc>
          <w:tcPr>
            <w:tcW w:w="48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039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不纳入本期两个业务仓库</w:t>
            </w:r>
          </w:p>
        </w:tc>
      </w:tr>
    </w:tbl>
    <w:p w14:paraId="2AD721B7">
      <w:pPr>
        <w:spacing w:after="0"/>
      </w:pPr>
    </w:p>
    <w:p w14:paraId="6E38D240">
      <w:pPr>
        <w:pStyle w:val="3"/>
        <w:keepNext/>
      </w:pPr>
      <w:r>
        <w:t>4. 一级目录说明</w:t>
      </w:r>
    </w:p>
    <w:p w14:paraId="76BF4244">
      <w:pPr>
        <w:pStyle w:val="4"/>
        <w:keepNext/>
      </w:pPr>
      <w:r>
        <w:t>4.1 后端一级目录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4E62244D">
        <w:trPr>
          <w:tblHeader/>
        </w:trPr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2D83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目录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B3B0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职责说明</w:t>
            </w:r>
          </w:p>
        </w:tc>
      </w:tr>
      <w:tr w14:paraId="64CA999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D0E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DAB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应用根包，组合 API、核心基础设施、数据库、公共代码、业务模块、集成和 Worker。</w:t>
            </w:r>
          </w:p>
        </w:tc>
      </w:tr>
      <w:tr w14:paraId="2BBC5D42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137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src/app/api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99D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路由注册、统一响应、认证依赖、异常映射和 API 版本入口。</w:t>
            </w:r>
          </w:p>
        </w:tc>
      </w:tr>
      <w:tr w14:paraId="4ECDD27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E8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src/app/core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E4E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配置、安全、权限基础设施、错误、日志、Trace、审计写入和 Snowflake。</w:t>
            </w:r>
          </w:p>
        </w:tc>
      </w:tr>
      <w:tr w14:paraId="58AF5204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4AF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src/app/db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B28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SQLAlchemy Base、Session、事务、数据库类型和数据库基础设施。</w:t>
            </w:r>
          </w:p>
        </w:tc>
      </w:tr>
      <w:tr w14:paraId="4AFA41B2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6F5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src/app/common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8BC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真正跨模块的纯公共能力，例如分页、时钟、幂等和公共类型。</w:t>
            </w:r>
          </w:p>
        </w:tc>
      </w:tr>
      <w:tr w14:paraId="07A7CB46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41C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src/app/modules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22F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按 M1～M8 组织的业务模块，业务规则由 Service 负责。</w:t>
            </w:r>
          </w:p>
        </w:tc>
      </w:tr>
      <w:tr w14:paraId="62423A4D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1D3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src/app/integrations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8C7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Casdoor、LinkForty、Webhook、NFC 等外部系统适配器。</w:t>
            </w:r>
          </w:p>
        </w:tc>
      </w:tr>
      <w:tr w14:paraId="31A29461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C8B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src/app/workers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985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Celery 异步任务、重试、补偿、预约生效和对账。</w:t>
            </w:r>
          </w:p>
        </w:tc>
      </w:tr>
      <w:tr w14:paraId="545C002B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600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alembic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CC0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数据库结构迁移配置和独立 Revision；正式结构变化放入 alembic/versions。</w:t>
            </w:r>
          </w:p>
        </w:tc>
      </w:tr>
      <w:tr w14:paraId="40AE353B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3EC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database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D98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种子数据、数据库检查和辅助说明；不放正式建表逻辑。</w:t>
            </w:r>
          </w:p>
        </w:tc>
      </w:tr>
      <w:tr w14:paraId="105042AF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7C79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scripts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845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开发、迁移检查、数据准备和联调辅助脚本。</w:t>
            </w:r>
          </w:p>
        </w:tc>
      </w:tr>
      <w:tr w14:paraId="0D2ADCF4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1FB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tests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AB9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单元、集成、API、权限、幂等、迁移和端到端测试。</w:t>
            </w:r>
          </w:p>
        </w:tc>
      </w:tr>
      <w:tr w14:paraId="7E2E086E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E98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docs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341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后端仓库本地启动、测试和联调说明；不复制 docs 仓库的完整基线。</w:t>
            </w:r>
          </w:p>
        </w:tc>
      </w:tr>
      <w:tr w14:paraId="0B09BF8F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7C7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.github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E1F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后端仓库自己的 CI、PR 模板、CODEOWNERS 和分支检查。</w:t>
            </w:r>
          </w:p>
        </w:tc>
      </w:tr>
    </w:tbl>
    <w:p w14:paraId="1B129481">
      <w:pPr>
        <w:spacing w:after="0"/>
      </w:pPr>
    </w:p>
    <w:p w14:paraId="06DE3C79">
      <w:pPr>
        <w:pStyle w:val="4"/>
        <w:keepNext/>
      </w:pPr>
      <w:r>
        <w:t>4.2 前端一级目录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5C8964CE">
        <w:trPr>
          <w:tblHeader/>
        </w:trPr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B466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目录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025C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职责说明</w:t>
            </w:r>
          </w:p>
        </w:tc>
      </w:tr>
      <w:tr w14:paraId="6FC92EC9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667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src/app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1B8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应用初始化、Provider、全局配置和错误边界。</w:t>
            </w:r>
          </w:p>
        </w:tc>
      </w:tr>
      <w:tr w14:paraId="70E0FB3B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322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src/api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7DF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按模块封装银行后台 API，使用 OpenAPI 生成的类型。</w:t>
            </w:r>
          </w:p>
        </w:tc>
      </w:tr>
      <w:tr w14:paraId="7125457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F73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src/components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B60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跨页面复用且不承载具体业务规则的 UI 组件。</w:t>
            </w:r>
          </w:p>
        </w:tc>
      </w:tr>
      <w:tr w14:paraId="7B9541B6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6A9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src/layouts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A76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后台布局、导航、面包屑、权限菜单和页面框架。</w:t>
            </w:r>
          </w:p>
        </w:tc>
      </w:tr>
      <w:tr w14:paraId="512B7F10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1AD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src/modules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DCC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按 M1～M8 组织页面、模块组件、查询和业务交互。</w:t>
            </w:r>
          </w:p>
        </w:tc>
      </w:tr>
      <w:tr w14:paraId="66F5D58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298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src/routes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61E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React Router 路由、鉴权入口和页面级数据范围处理。</w:t>
            </w:r>
          </w:p>
        </w:tc>
      </w:tr>
      <w:tr w14:paraId="70AFB7F7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668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src/stores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FA0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客户端状态；服务端状态由 TanStack Query 管理。</w:t>
            </w:r>
          </w:p>
        </w:tc>
      </w:tr>
      <w:tr w14:paraId="49466517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BFF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src/types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B5E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前端公共类型和生成类型的组合，不重复手写后端接口契约。</w:t>
            </w:r>
          </w:p>
        </w:tc>
      </w:tr>
      <w:tr w14:paraId="41CA0DD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01E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src/utils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5DD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真正跨模块的格式化、错误展示和纯工具函数。</w:t>
            </w:r>
          </w:p>
        </w:tc>
      </w:tr>
      <w:tr w14:paraId="05E73FE7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0A7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tests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F4A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Vitest 单元/组件测试和 Playwright 端到端验收测试。</w:t>
            </w:r>
          </w:p>
        </w:tc>
      </w:tr>
      <w:tr w14:paraId="065509EE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FF9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.github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271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前端仓库自己的 CI、PR 模板、CODEOWNERS 和构建检查。</w:t>
            </w:r>
          </w:p>
        </w:tc>
      </w:tr>
    </w:tbl>
    <w:p w14:paraId="4C1FDB46">
      <w:pPr>
        <w:spacing w:after="0"/>
      </w:pPr>
    </w:p>
    <w:p w14:paraId="04866623">
      <w:pPr>
        <w:pStyle w:val="4"/>
        <w:keepNext/>
      </w:pPr>
      <w:r>
        <w:t>4.3 明确禁止</w:t>
      </w:r>
    </w:p>
    <w:p w14:paraId="3A263914">
      <w:pPr>
        <w:pStyle w:val="16"/>
      </w:pPr>
      <w:r>
        <w:rPr>
          <w:rFonts w:ascii="Calibri" w:hAnsi="Calibri" w:eastAsia="Hiragino Sans GB"/>
          <w:color w:val="1F2933"/>
          <w:sz w:val="22"/>
        </w:rPr>
        <w:t>前端直接连接数据库。</w:t>
      </w:r>
    </w:p>
    <w:p w14:paraId="04031A1E">
      <w:pPr>
        <w:pStyle w:val="16"/>
      </w:pPr>
      <w:r>
        <w:rPr>
          <w:rFonts w:ascii="Calibri" w:hAnsi="Calibri" w:eastAsia="Hiragino Sans GB"/>
          <w:color w:val="1F2933"/>
          <w:sz w:val="22"/>
        </w:rPr>
        <w:t>前端直接调用 LinkForty Core。</w:t>
      </w:r>
    </w:p>
    <w:p w14:paraId="1D47E353">
      <w:pPr>
        <w:pStyle w:val="16"/>
      </w:pPr>
      <w:r>
        <w:rPr>
          <w:rFonts w:ascii="Calibri" w:hAnsi="Calibri" w:eastAsia="Hiragino Sans GB"/>
          <w:color w:val="1F2933"/>
          <w:sz w:val="22"/>
        </w:rPr>
        <w:t>后端复制 LinkForty Core 源码。</w:t>
      </w:r>
    </w:p>
    <w:p w14:paraId="366948BD">
      <w:pPr>
        <w:pStyle w:val="16"/>
      </w:pPr>
      <w:r>
        <w:rPr>
          <w:rFonts w:ascii="Calibri" w:hAnsi="Calibri" w:eastAsia="Hiragino Sans GB"/>
          <w:color w:val="1F2933"/>
          <w:sz w:val="22"/>
        </w:rPr>
        <w:t>两个仓库复制完整需求文档。</w:t>
      </w:r>
    </w:p>
    <w:p w14:paraId="24721FF7">
      <w:pPr>
        <w:pStyle w:val="16"/>
      </w:pPr>
      <w:r>
        <w:rPr>
          <w:rFonts w:ascii="Calibri" w:hAnsi="Calibri" w:eastAsia="Hiragino Sans GB"/>
          <w:color w:val="1F2933"/>
          <w:sz w:val="22"/>
        </w:rPr>
        <w:t>在全局目录重复维护业务 Service、Repository、Model、Schema 和页面。</w:t>
      </w:r>
    </w:p>
    <w:p w14:paraId="15DAE243">
      <w:pPr>
        <w:pStyle w:val="3"/>
        <w:keepNext/>
      </w:pPr>
      <w:r>
        <w:t>5. 后端模块内部结构</w:t>
      </w:r>
    </w:p>
    <w:p w14:paraId="727995CC">
      <w:r>
        <w:rPr>
          <w:rFonts w:ascii="Calibri" w:hAnsi="Calibri" w:eastAsia="Hiragino Sans GB"/>
          <w:color w:val="1F2933"/>
          <w:sz w:val="22"/>
        </w:rPr>
        <w:t>后端采用业务模块优先、职责固定、按需创建文件的结构。以 touchpoints 模块为例：</w:t>
      </w:r>
    </w:p>
    <w:p w14:paraId="771DB8E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modules/touchpoints/</w:t>
      </w:r>
    </w:p>
    <w:p w14:paraId="6B03B79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router.py</w:t>
      </w:r>
    </w:p>
    <w:p w14:paraId="13BA118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schemas.py</w:t>
      </w:r>
    </w:p>
    <w:p w14:paraId="490094E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service.py</w:t>
      </w:r>
    </w:p>
    <w:p w14:paraId="3282A4F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repository.py</w:t>
      </w:r>
    </w:p>
    <w:p w14:paraId="3AE82DE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models.py</w:t>
      </w:r>
    </w:p>
    <w:p w14:paraId="285303B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permissions.py</w:t>
      </w:r>
    </w:p>
    <w:p w14:paraId="5DCBAF6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enums.py</w:t>
      </w:r>
    </w:p>
    <w:p w14:paraId="71A9505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exceptions.py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1D9ED5B5">
        <w:trPr>
          <w:tblHeader/>
        </w:trPr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9651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文件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E109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职责</w:t>
            </w:r>
          </w:p>
        </w:tc>
      </w:tr>
      <w:tr w14:paraId="14AAAC81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6C0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router.py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FCD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接收 HTTP 参数、调用 Service、声明认证依赖和响应模型。</w:t>
            </w:r>
          </w:p>
        </w:tc>
      </w:tr>
      <w:tr w14:paraId="67D08FF2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12F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schemas.py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327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定义 Pydantic 请求、响应和输入校验模型。</w:t>
            </w:r>
          </w:p>
        </w:tc>
      </w:tr>
      <w:tr w14:paraId="04C9530B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F7C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service.py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E23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实现业务规则、事务边界、状态变化、审计和任务调度。</w:t>
            </w:r>
          </w:p>
        </w:tc>
      </w:tr>
      <w:tr w14:paraId="26B34B29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B33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repository.py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DF7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封装 SQLAlchemy 查询和持久化，不决定业务权限和最终状态。</w:t>
            </w:r>
          </w:p>
        </w:tc>
      </w:tr>
      <w:tr w14:paraId="27A1B4EE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016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models.py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243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定义本模块业务表模型和关系。</w:t>
            </w:r>
          </w:p>
        </w:tc>
      </w:tr>
      <w:tr w14:paraId="0F96CF5A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BF0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permissions.py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B80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定义模块功能权限和数据范围规则。</w:t>
            </w:r>
          </w:p>
        </w:tc>
      </w:tr>
      <w:tr w14:paraId="52A21545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78B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enums.py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D34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定义状态、类型和生命周期枚举。</w:t>
            </w:r>
          </w:p>
        </w:tc>
      </w:tr>
      <w:tr w14:paraId="76704553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F0C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exceptions.py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57C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定义模块业务异常及其错误码映射。</w:t>
            </w:r>
          </w:p>
        </w:tc>
      </w:tr>
    </w:tbl>
    <w:p w14:paraId="74B11921">
      <w:pPr>
        <w:spacing w:after="0"/>
      </w:pPr>
    </w:p>
    <w:p w14:paraId="0DAFF846">
      <w:pPr>
        <w:pStyle w:val="16"/>
      </w:pPr>
      <w:r>
        <w:rPr>
          <w:rFonts w:ascii="Calibri" w:hAnsi="Calibri" w:eastAsia="Hiragino Sans GB"/>
          <w:color w:val="1F2933"/>
          <w:sz w:val="22"/>
        </w:rPr>
        <w:t>不批量创建空文件；只有在业务实现需要时才创建模块文件。</w:t>
      </w:r>
    </w:p>
    <w:p w14:paraId="39870ABA">
      <w:pPr>
        <w:pStyle w:val="16"/>
      </w:pPr>
      <w:r>
        <w:rPr>
          <w:rFonts w:ascii="Calibri" w:hAnsi="Calibri" w:eastAsia="Hiragino Sans GB"/>
          <w:color w:val="1F2933"/>
          <w:sz w:val="22"/>
        </w:rPr>
        <w:t>不建立全局业务型 services/、repositories/、models/、schemas/。</w:t>
      </w:r>
    </w:p>
    <w:p w14:paraId="370CEE9D">
      <w:pPr>
        <w:pStyle w:val="16"/>
      </w:pPr>
      <w:r>
        <w:rPr>
          <w:rFonts w:ascii="Calibri" w:hAnsi="Calibri" w:eastAsia="Hiragino Sans GB"/>
          <w:color w:val="1F2933"/>
          <w:sz w:val="22"/>
        </w:rPr>
        <w:t>公共基础设施不得承载具体业务规则。</w:t>
      </w:r>
    </w:p>
    <w:p w14:paraId="1B18877B">
      <w:pPr>
        <w:pStyle w:val="16"/>
      </w:pPr>
      <w:r>
        <w:rPr>
          <w:rFonts w:ascii="Calibri" w:hAnsi="Calibri" w:eastAsia="Hiragino Sans GB"/>
          <w:color w:val="1F2933"/>
          <w:sz w:val="22"/>
        </w:rPr>
        <w:t>遵循 Router → Service → Repository，并通过 Integration Adapter 调用外部系统。</w:t>
      </w:r>
    </w:p>
    <w:p w14:paraId="520B67D2">
      <w:pPr>
        <w:pStyle w:val="3"/>
        <w:keepNext/>
      </w:pPr>
      <w:r>
        <w:t>6. M1～M8 模块对应关系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500"/>
        <w:gridCol w:w="2650"/>
        <w:gridCol w:w="3560"/>
      </w:tblGrid>
      <w:tr w14:paraId="3D58C3CE">
        <w:trPr>
          <w:tblHeader/>
        </w:trPr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6D0E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7"/>
              </w:rPr>
              <w:t>模块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5CA9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7"/>
              </w:rPr>
              <w:t>后端目录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53CF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7"/>
              </w:rPr>
              <w:t>前端目录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0271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7"/>
              </w:rPr>
              <w:t>主要职责</w:t>
            </w:r>
          </w:p>
        </w:tc>
      </w:tr>
      <w:tr w14:paraId="6EA8125B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CC3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M1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A69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modules/iam、modules/audit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0DF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modules/auth、modules/iam、modules/audit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B9B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登录、主体映射、权限、数据范围、审计</w:t>
            </w:r>
          </w:p>
        </w:tc>
      </w:tr>
      <w:tr w14:paraId="1F3E39AB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2BF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M2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24E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modules/organizations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61E9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modules/organizations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630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组织树和客户经理</w:t>
            </w:r>
          </w:p>
        </w:tc>
      </w:tr>
      <w:tr w14:paraId="700B04CF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893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M3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940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modules/touchpoints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315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modules/touchpoints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362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NFC 资产和 Payload</w:t>
            </w:r>
          </w:p>
        </w:tc>
      </w:tr>
      <w:tr w14:paraId="5DCE8E6A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E3F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M4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3B5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modules/assignments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88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modules/assignments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685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绑定、解绑、转交和历史快照</w:t>
            </w:r>
          </w:p>
        </w:tc>
      </w:tr>
      <w:tr w14:paraId="15348423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EA19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M5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28C7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modules/resources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42D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modules/resources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B7A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目标资源管理</w:t>
            </w:r>
          </w:p>
        </w:tc>
      </w:tr>
      <w:tr w14:paraId="40C6ABFD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9A7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M6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528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modules/routing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522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modules/routing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041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路由规则、确认和发布</w:t>
            </w:r>
          </w:p>
        </w:tc>
      </w:tr>
      <w:tr w14:paraId="60E6C0D0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571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M7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3C2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modules/events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CBD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modules/events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77A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Webhook、幂等和访问事件</w:t>
            </w:r>
          </w:p>
        </w:tc>
      </w:tr>
      <w:tr w14:paraId="10A41A4C">
        <w:tc>
          <w:tcPr>
            <w:tcW w:w="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154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M8</w:t>
            </w:r>
          </w:p>
        </w:tc>
        <w:tc>
          <w:tcPr>
            <w:tcW w:w="2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FFA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modules/analytics</w:t>
            </w:r>
          </w:p>
        </w:tc>
        <w:tc>
          <w:tcPr>
            <w:tcW w:w="265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FFF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modules/analytics</w:t>
            </w:r>
          </w:p>
        </w:tc>
        <w:tc>
          <w:tcPr>
            <w:tcW w:w="3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B555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7"/>
              </w:rPr>
              <w:t>统计、查询和导出</w:t>
            </w:r>
          </w:p>
        </w:tc>
      </w:tr>
    </w:tbl>
    <w:p w14:paraId="7C078154">
      <w:pPr>
        <w:spacing w:after="0"/>
      </w:pPr>
    </w:p>
    <w:p w14:paraId="4964279B">
      <w:r>
        <w:rPr>
          <w:rFonts w:ascii="Calibri" w:hAnsi="Calibri" w:eastAsia="Hiragino Sans GB"/>
          <w:color w:val="1F2933"/>
          <w:sz w:val="22"/>
        </w:rPr>
        <w:t>客户经理作为组织模块下的子功能，目录为：</w:t>
      </w:r>
    </w:p>
    <w:p w14:paraId="5BCCA6B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modules/organizations/customer_managers/</w:t>
      </w:r>
    </w:p>
    <w:p w14:paraId="6F89EC09">
      <w:pPr>
        <w:pStyle w:val="3"/>
        <w:keepNext/>
      </w:pPr>
      <w:r>
        <w:t>7. 公共代码管理</w:t>
      </w:r>
    </w:p>
    <w:p w14:paraId="710F9513">
      <w:r>
        <w:rPr>
          <w:rFonts w:ascii="Calibri" w:hAnsi="Calibri" w:eastAsia="Hiragino Sans GB"/>
          <w:color w:val="1F2933"/>
          <w:sz w:val="22"/>
        </w:rPr>
        <w:t>公共代码分为三层，分别承担横向基础设施、数据库基础设施和真正跨模块的纯公共能力：</w:t>
      </w:r>
    </w:p>
    <w:p w14:paraId="03FF069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core/</w:t>
      </w:r>
    </w:p>
    <w:p w14:paraId="42ED57A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config.py</w:t>
      </w:r>
    </w:p>
    <w:p w14:paraId="6067FF7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security.py</w:t>
      </w:r>
    </w:p>
    <w:p w14:paraId="6B187F7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permissions.py</w:t>
      </w:r>
    </w:p>
    <w:p w14:paraId="26F9464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errors.py</w:t>
      </w:r>
    </w:p>
    <w:p w14:paraId="61EA59A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logging.py</w:t>
      </w:r>
    </w:p>
    <w:p w14:paraId="2BEA589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tracing.py</w:t>
      </w:r>
    </w:p>
    <w:p w14:paraId="33E798F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audit.py</w:t>
      </w:r>
    </w:p>
    <w:p w14:paraId="7A85E9F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snowflake.py</w:t>
      </w:r>
    </w:p>
    <w:p w14:paraId="08847266">
      <w:pPr>
        <w:pStyle w:val="164"/>
      </w:pPr>
    </w:p>
    <w:p w14:paraId="61CF044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db/</w:t>
      </w:r>
    </w:p>
    <w:p w14:paraId="5730BE9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base.py</w:t>
      </w:r>
    </w:p>
    <w:p w14:paraId="1BC0EC1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session.py</w:t>
      </w:r>
    </w:p>
    <w:p w14:paraId="76C8016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transaction.py</w:t>
      </w:r>
    </w:p>
    <w:p w14:paraId="2BDDF48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types.py</w:t>
      </w:r>
    </w:p>
    <w:p w14:paraId="767ABED6">
      <w:pPr>
        <w:pStyle w:val="164"/>
      </w:pPr>
    </w:p>
    <w:p w14:paraId="20ED4FC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common/</w:t>
      </w:r>
    </w:p>
    <w:p w14:paraId="7A10F21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pagination.py</w:t>
      </w:r>
    </w:p>
    <w:p w14:paraId="5E66A0F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clock.py</w:t>
      </w:r>
    </w:p>
    <w:p w14:paraId="067CA22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idempotency.py</w:t>
      </w:r>
    </w:p>
    <w:p w14:paraId="483EDAD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types.py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4026780">
        <w:trPr>
          <w:tblHeader/>
        </w:trPr>
        <w:tc>
          <w:tcPr>
            <w:tcW w:w="1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4E6E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层</w:t>
            </w:r>
          </w:p>
        </w:tc>
        <w:tc>
          <w:tcPr>
            <w:tcW w:w="7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2B80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边界与责任</w:t>
            </w:r>
          </w:p>
        </w:tc>
      </w:tr>
      <w:tr w14:paraId="7EDA09A0">
        <w:tc>
          <w:tcPr>
            <w:tcW w:w="1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953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core</w:t>
            </w:r>
          </w:p>
        </w:tc>
        <w:tc>
          <w:tcPr>
            <w:tcW w:w="7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C28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负责配置、安全、权限基础设施、错误、日志、Trace、审计公共写入和 Snowflake。</w:t>
            </w:r>
          </w:p>
        </w:tc>
      </w:tr>
      <w:tr w14:paraId="3318FB6F">
        <w:tc>
          <w:tcPr>
            <w:tcW w:w="1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D3B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db</w:t>
            </w:r>
          </w:p>
        </w:tc>
        <w:tc>
          <w:tcPr>
            <w:tcW w:w="7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BDF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负责 SQLAlchemy Base、Session、事务和数据库类型。</w:t>
            </w:r>
          </w:p>
        </w:tc>
      </w:tr>
      <w:tr w14:paraId="760EBD26">
        <w:tc>
          <w:tcPr>
            <w:tcW w:w="18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88B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common</w:t>
            </w:r>
          </w:p>
        </w:tc>
        <w:tc>
          <w:tcPr>
            <w:tcW w:w="7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C9B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只保存真正跨模块的纯公共能力，不放具体业务规则。</w:t>
            </w:r>
          </w:p>
        </w:tc>
      </w:tr>
    </w:tbl>
    <w:p w14:paraId="48CB059D">
      <w:pPr>
        <w:spacing w:after="0"/>
      </w:pPr>
    </w:p>
    <w:p w14:paraId="322D7E71">
      <w:pPr>
        <w:pStyle w:val="16"/>
      </w:pPr>
      <w:r>
        <w:rPr>
          <w:rFonts w:ascii="Calibri" w:hAnsi="Calibri" w:eastAsia="Hiragino Sans GB"/>
          <w:color w:val="1F2933"/>
          <w:sz w:val="22"/>
        </w:rPr>
        <w:t>Snowflake 由 core/snowflake.py 负责。</w:t>
      </w:r>
    </w:p>
    <w:p w14:paraId="3C46AE0A">
      <w:pPr>
        <w:pStyle w:val="16"/>
      </w:pPr>
      <w:r>
        <w:rPr>
          <w:rFonts w:ascii="Calibri" w:hAnsi="Calibri" w:eastAsia="Hiragino Sans GB"/>
          <w:color w:val="1F2933"/>
          <w:sz w:val="22"/>
        </w:rPr>
        <w:t>审计公共写入由 core/audit.py 负责；审计查询由 modules/audit 负责。</w:t>
      </w:r>
    </w:p>
    <w:p w14:paraId="5E922E19">
      <w:pPr>
        <w:pStyle w:val="16"/>
      </w:pPr>
      <w:r>
        <w:rPr>
          <w:rFonts w:ascii="Calibri" w:hAnsi="Calibri" w:eastAsia="Hiragino Sans GB"/>
          <w:color w:val="1F2933"/>
          <w:sz w:val="22"/>
        </w:rPr>
        <w:t>修改公共代码必须附带影响范围说明，并进行双人审核。</w:t>
      </w:r>
    </w:p>
    <w:p w14:paraId="0BECE021">
      <w:pPr>
        <w:pStyle w:val="3"/>
        <w:keepNext/>
      </w:pPr>
      <w:r>
        <w:t>8. 外部系统集成目录</w:t>
      </w:r>
    </w:p>
    <w:p w14:paraId="3DD3D73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integrations/</w:t>
      </w:r>
    </w:p>
    <w:p w14:paraId="4226BE9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casdoor/</w:t>
      </w:r>
    </w:p>
    <w:p w14:paraId="04FF4B9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linkforty/</w:t>
      </w:r>
    </w:p>
    <w:p w14:paraId="0617586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client.py</w:t>
      </w:r>
    </w:p>
    <w:p w14:paraId="3C650CE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schemas.py</w:t>
      </w:r>
    </w:p>
    <w:p w14:paraId="4CCF46C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webhook.py</w:t>
      </w:r>
    </w:p>
    <w:p w14:paraId="0DE3CD8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mapping.py</w:t>
      </w:r>
    </w:p>
    <w:p w14:paraId="0A11CD9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├── read_only.py</w:t>
      </w:r>
    </w:p>
    <w:p w14:paraId="1A733E2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│   └── exceptions.py</w:t>
      </w:r>
    </w:p>
    <w:p w14:paraId="4CCE0F9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nfc/</w:t>
      </w:r>
    </w:p>
    <w:p w14:paraId="64CA135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├── interface.py</w:t>
      </w:r>
    </w:p>
    <w:p w14:paraId="0972CBC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└── mock.py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6E9EFBD5">
        <w:trPr>
          <w:tblHeader/>
        </w:trPr>
        <w:tc>
          <w:tcPr>
            <w:tcW w:w="1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3E02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集成</w:t>
            </w:r>
          </w:p>
        </w:tc>
        <w:tc>
          <w:tcPr>
            <w:tcW w:w="33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04B7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责任边界</w:t>
            </w:r>
          </w:p>
        </w:tc>
        <w:tc>
          <w:tcPr>
            <w:tcW w:w="4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2952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实现要求</w:t>
            </w:r>
          </w:p>
        </w:tc>
      </w:tr>
      <w:tr w14:paraId="1D68A2BB">
        <w:tc>
          <w:tcPr>
            <w:tcW w:w="1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827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Casdoor</w:t>
            </w:r>
          </w:p>
        </w:tc>
        <w:tc>
          <w:tcPr>
            <w:tcW w:w="33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3A1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身份、角色和功能权限权威来源</w:t>
            </w:r>
          </w:p>
        </w:tc>
        <w:tc>
          <w:tcPr>
            <w:tcW w:w="4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FC0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本地 IAM 负责主体映射、权限适配和组织数据范围</w:t>
            </w:r>
          </w:p>
        </w:tc>
      </w:tr>
      <w:tr w14:paraId="689290DC">
        <w:tc>
          <w:tcPr>
            <w:tcW w:w="1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0EF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LinkForty</w:t>
            </w:r>
          </w:p>
        </w:tc>
        <w:tc>
          <w:tcPr>
            <w:tcW w:w="33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0CC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外部 Link、事件、Webhook 和发布接口</w:t>
            </w:r>
          </w:p>
        </w:tc>
        <w:tc>
          <w:tcPr>
            <w:tcW w:w="4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7A3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写操作只能通过 API；只读数据使用受限只读连接</w:t>
            </w:r>
          </w:p>
        </w:tc>
      </w:tr>
      <w:tr w14:paraId="5E3D6204">
        <w:tc>
          <w:tcPr>
            <w:tcW w:w="15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A65A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NFC</w:t>
            </w:r>
          </w:p>
        </w:tc>
        <w:tc>
          <w:tcPr>
            <w:tcW w:w="33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8D40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卡片载体操作抽象</w:t>
            </w:r>
          </w:p>
        </w:tc>
        <w:tc>
          <w:tcPr>
            <w:tcW w:w="45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4619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本期仅提供 interface.py 和 mock.py，不绑定真实硬件</w:t>
            </w:r>
          </w:p>
        </w:tc>
      </w:tr>
    </w:tbl>
    <w:p w14:paraId="709EDD33">
      <w:pPr>
        <w:spacing w:after="0"/>
      </w:pPr>
    </w:p>
    <w:p w14:paraId="5BF50D02">
      <w:pPr>
        <w:pStyle w:val="16"/>
      </w:pPr>
      <w:r>
        <w:rPr>
          <w:rFonts w:ascii="Calibri" w:hAnsi="Calibri" w:eastAsia="Hiragino Sans GB"/>
          <w:color w:val="1F2933"/>
          <w:sz w:val="22"/>
        </w:rPr>
        <w:t>禁止读取或输出 webhooks.secret。</w:t>
      </w:r>
    </w:p>
    <w:p w14:paraId="58748292">
      <w:pPr>
        <w:pStyle w:val="16"/>
      </w:pPr>
      <w:r>
        <w:rPr>
          <w:rFonts w:ascii="Calibri" w:hAnsi="Calibri" w:eastAsia="Hiragino Sans GB"/>
          <w:color w:val="1F2933"/>
          <w:sz w:val="22"/>
        </w:rPr>
        <w:t>Webhook 接收由 modules/events/router.py 完成。</w:t>
      </w:r>
    </w:p>
    <w:p w14:paraId="5B3A5EEB">
      <w:pPr>
        <w:pStyle w:val="16"/>
      </w:pPr>
      <w:r>
        <w:rPr>
          <w:rFonts w:ascii="Calibri" w:hAnsi="Calibri" w:eastAsia="Hiragino Sans GB"/>
          <w:color w:val="1F2933"/>
          <w:sz w:val="22"/>
        </w:rPr>
        <w:t>Webhook 验签和字段解析由 integrations/linkforty/webhook.py 完成。</w:t>
      </w:r>
    </w:p>
    <w:p w14:paraId="3A26DF14">
      <w:pPr>
        <w:pStyle w:val="16"/>
      </w:pPr>
      <w:r>
        <w:rPr>
          <w:rFonts w:ascii="Calibri" w:hAnsi="Calibri" w:eastAsia="Hiragino Sans GB"/>
          <w:color w:val="1F2933"/>
          <w:sz w:val="22"/>
        </w:rPr>
        <w:t>事件幂等和关联由 modules/events/service.py 完成。</w:t>
      </w:r>
    </w:p>
    <w:p w14:paraId="371E465C">
      <w:pPr>
        <w:pStyle w:val="16"/>
      </w:pPr>
      <w:r>
        <w:rPr>
          <w:rFonts w:ascii="Calibri" w:hAnsi="Calibri" w:eastAsia="Hiragino Sans GB"/>
          <w:color w:val="1F2933"/>
          <w:sz w:val="22"/>
        </w:rPr>
        <w:t>银行后台与 LinkForty Core 分开建设，不复制 LinkForty 源码。</w:t>
      </w:r>
    </w:p>
    <w:p w14:paraId="4360091B">
      <w:pPr>
        <w:pStyle w:val="3"/>
        <w:keepNext/>
      </w:pPr>
      <w:r>
        <w:t>9. 数据库迁移规则</w:t>
      </w:r>
    </w:p>
    <w:p w14:paraId="36CD3633">
      <w:pPr>
        <w:pStyle w:val="16"/>
      </w:pPr>
      <w:r>
        <w:rPr>
          <w:rFonts w:ascii="Calibri" w:hAnsi="Calibri" w:eastAsia="Hiragino Sans GB"/>
          <w:color w:val="1F2933"/>
          <w:sz w:val="22"/>
        </w:rPr>
        <w:t>数据库使用 PostgreSQL 14+，银行业务表使用 bank_admin Schema。</w:t>
      </w:r>
    </w:p>
    <w:p w14:paraId="75429215">
      <w:pPr>
        <w:pStyle w:val="16"/>
      </w:pPr>
      <w:r>
        <w:rPr>
          <w:rFonts w:ascii="Calibri" w:hAnsi="Calibri" w:eastAsia="Hiragino Sans GB"/>
          <w:color w:val="1F2933"/>
          <w:sz w:val="22"/>
        </w:rPr>
        <w:t>所有结构变更使用 Alembic；正式建表和字段变化只能放在 alembic/versions/。</w:t>
      </w:r>
    </w:p>
    <w:p w14:paraId="489D341D">
      <w:pPr>
        <w:pStyle w:val="16"/>
      </w:pPr>
      <w:r>
        <w:rPr>
          <w:rFonts w:ascii="Calibri" w:hAnsi="Calibri" w:eastAsia="Hiragino Sans GB"/>
          <w:color w:val="1F2933"/>
          <w:sz w:val="22"/>
        </w:rPr>
        <w:t>主键使用应用层 Snowflake BIGINT；BIGINT 通过 API 以字符串返回，UUID 保留 UUID 语义。</w:t>
      </w:r>
    </w:p>
    <w:p w14:paraId="0C0D96C3">
      <w:pPr>
        <w:pStyle w:val="16"/>
      </w:pPr>
      <w:r>
        <w:rPr>
          <w:rFonts w:ascii="Calibri" w:hAnsi="Calibri" w:eastAsia="Hiragino Sans GB"/>
          <w:color w:val="1F2933"/>
          <w:sz w:val="22"/>
        </w:rPr>
        <w:t>event_id 全局唯一；click_id 只建立普通索引；access_events 不分区。</w:t>
      </w:r>
    </w:p>
    <w:p w14:paraId="0B16AC59">
      <w:pPr>
        <w:pStyle w:val="16"/>
      </w:pPr>
      <w:r>
        <w:rPr>
          <w:rFonts w:ascii="Calibri" w:hAnsi="Calibri" w:eastAsia="Hiragino Sans GB"/>
          <w:color w:val="1F2933"/>
          <w:sz w:val="22"/>
        </w:rPr>
        <w:t>历史绑定、组织和客户经理快照不能因主数据删除而失效。</w:t>
      </w:r>
    </w:p>
    <w:p w14:paraId="60767439">
      <w:pPr>
        <w:pStyle w:val="16"/>
      </w:pPr>
      <w:r>
        <w:rPr>
          <w:rFonts w:ascii="Calibri" w:hAnsi="Calibri" w:eastAsia="Hiragino Sans GB"/>
          <w:color w:val="1F2933"/>
          <w:sz w:val="22"/>
        </w:rPr>
        <w:t>迁移文件不得直接修改已执行版本；每个数据库变更必须有独立 Revision。</w:t>
      </w:r>
    </w:p>
    <w:p w14:paraId="58D3E5A4">
      <w:pPr>
        <w:pStyle w:val="16"/>
      </w:pPr>
      <w:r>
        <w:rPr>
          <w:rFonts w:ascii="Calibri" w:hAnsi="Calibri" w:eastAsia="Hiragino Sans GB"/>
          <w:color w:val="1F2933"/>
          <w:sz w:val="22"/>
        </w:rPr>
        <w:t>迁移必须在空数据库上验证，且迁移和对应业务代码放在同一个 PR 中。</w:t>
      </w:r>
    </w:p>
    <w:p w14:paraId="69D03DFA">
      <w:r>
        <w:rPr>
          <w:rFonts w:ascii="Calibri" w:hAnsi="Calibri" w:eastAsia="Hiragino Sans GB"/>
          <w:color w:val="1F2933"/>
          <w:sz w:val="22"/>
        </w:rPr>
        <w:t>数据库辅助资料目录：</w:t>
      </w:r>
    </w:p>
    <w:p w14:paraId="083CCA1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database/</w:t>
      </w:r>
    </w:p>
    <w:p w14:paraId="0E59F35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seeds/</w:t>
      </w:r>
    </w:p>
    <w:p w14:paraId="733EDFC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checks/</w:t>
      </w:r>
    </w:p>
    <w:p w14:paraId="59C32C7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README.md</w:t>
      </w:r>
    </w:p>
    <w:tbl>
      <w:tblPr>
        <w:tblStyle w:val="32"/>
        <w:tblW w:w="912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64E3262E">
        <w:tc>
          <w:tcPr>
            <w:tcW w:w="9120" w:type="dxa"/>
            <w:tcBorders>
              <w:top w:val="single" w:color="B8CBE0" w:sz="8" w:space="0"/>
              <w:left w:val="single" w:color="B8CBE0" w:sz="8" w:space="0"/>
              <w:bottom w:val="single" w:color="B8CBE0" w:sz="8" w:space="0"/>
              <w:right w:val="single" w:color="B8CBE0" w:sz="8" w:space="0"/>
              <w:insideH w:val="single" w:sz="8" w:space="0"/>
              <w:insideV w:val="single" w:sz="8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20AD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0"/>
              </w:rPr>
              <w:t xml:space="preserve">迁移边界  </w:t>
            </w:r>
            <w:r>
              <w:rPr>
                <w:rFonts w:ascii="Calibri" w:hAnsi="Calibri" w:eastAsia="Hiragino Sans GB"/>
                <w:color w:val="1F2933"/>
                <w:sz w:val="20"/>
              </w:rPr>
              <w:t>database/ 只保存种子、检查和辅助说明；正式 DDL 不放在启动脚本或 database/ 中，也不得直接修改 LinkForty 平台表。</w:t>
            </w:r>
          </w:p>
        </w:tc>
      </w:tr>
    </w:tbl>
    <w:p w14:paraId="0E477AFA">
      <w:pPr>
        <w:spacing w:after="0"/>
      </w:pPr>
    </w:p>
    <w:p w14:paraId="3F9C06E3">
      <w:pPr>
        <w:pStyle w:val="3"/>
        <w:keepNext/>
      </w:pPr>
      <w:r>
        <w:t>10. 接口规范管理</w:t>
      </w:r>
    </w:p>
    <w:p w14:paraId="25C2F3D7">
      <w:r>
        <w:rPr>
          <w:rFonts w:ascii="Calibri" w:hAnsi="Calibri" w:eastAsia="Hiragino Sans GB"/>
          <w:color w:val="1F2933"/>
          <w:sz w:val="22"/>
        </w:rPr>
        <w:t>OpenAPI 由 docs 仓库版本化维护，代码仓库通过同步和生成流程使用，不在两个业务仓库维护独立的 OpenAPI 主文件。</w:t>
      </w:r>
    </w:p>
    <w:p w14:paraId="6E4152A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docs 仓库维护版本化 OpenAPI</w:t>
      </w:r>
    </w:p>
    <w:p w14:paraId="48D3AB8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    ↓</w:t>
      </w:r>
    </w:p>
    <w:p w14:paraId="6AC2F22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版本化同步脚本</w:t>
      </w:r>
    </w:p>
    <w:p w14:paraId="671990B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    ↓</w:t>
      </w:r>
    </w:p>
    <w:p w14:paraId="14805C8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后端接口实现</w:t>
      </w:r>
    </w:p>
    <w:p w14:paraId="567E950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    ↓</w:t>
      </w:r>
    </w:p>
    <w:p w14:paraId="7F9F560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前端生成 TypeScript 类型</w:t>
      </w:r>
    </w:p>
    <w:p w14:paraId="39C20AE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    ↓</w:t>
      </w:r>
    </w:p>
    <w:p w14:paraId="23BB06C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模块 API 封装</w:t>
      </w:r>
    </w:p>
    <w:p w14:paraId="69ECECE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 xml:space="preserve">        ↓</w:t>
      </w:r>
    </w:p>
    <w:p w14:paraId="77AE867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接口测试和联调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DB61A1C">
        <w:trPr>
          <w:tblHeader/>
        </w:trPr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8C8B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规范项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EF37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8"/>
              </w:rPr>
              <w:t>统一要求</w:t>
            </w:r>
          </w:p>
        </w:tc>
      </w:tr>
      <w:tr w14:paraId="55923686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B012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路径与字段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AAF4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路径使用 /api/v1；JSON 使用 camelCase；数据库使用 snake_case。</w:t>
            </w:r>
          </w:p>
        </w:tc>
      </w:tr>
      <w:tr w14:paraId="3DE3AB92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7543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标识与时间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D3D8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BIGINT 返回字符串；UUID 保留 UUID；时间使用带时区的 ISO 8601。</w:t>
            </w:r>
          </w:p>
        </w:tc>
      </w:tr>
      <w:tr w14:paraId="580D8734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141F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幂等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D9BB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写接口使用 Idempotency-Key；Webhook 使用 event_id；外部写调用携带稳定幂等标识。</w:t>
            </w:r>
          </w:p>
        </w:tc>
      </w:tr>
      <w:tr w14:paraId="5D8439F8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53AE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响应与错误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50B1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响应包含 requestId；错误码统一维护，错误结构保持一致。</w:t>
            </w:r>
          </w:p>
        </w:tc>
      </w:tr>
      <w:tr w14:paraId="32C50A87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F9E6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列表与范围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CEAC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分页、排序、筛选和数据范围规则统一，sortBy 使用服务端白名单。</w:t>
            </w:r>
          </w:p>
        </w:tc>
      </w:tr>
      <w:tr w14:paraId="5E0D4929">
        <w:tc>
          <w:tcPr>
            <w:tcW w:w="210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668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权限</w:t>
            </w:r>
          </w:p>
        </w:tc>
        <w:tc>
          <w:tcPr>
            <w:tcW w:w="7260" w:type="dxa"/>
            <w:tcBorders>
              <w:top w:val="single" w:color="C8D2DC" w:sz="6" w:space="0"/>
              <w:left w:val="single" w:color="C8D2DC" w:sz="6" w:space="0"/>
              <w:bottom w:val="single" w:color="C8D2DC" w:sz="6" w:space="0"/>
              <w:right w:val="single" w:color="C8D2DC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001D">
            <w:pPr>
              <w:spacing w:after="0" w:line="264" w:lineRule="auto"/>
            </w:pPr>
            <w:r>
              <w:rPr>
                <w:rFonts w:ascii="Calibri" w:hAnsi="Calibri" w:eastAsia="Hiragino Sans GB"/>
                <w:color w:val="1F2933"/>
                <w:sz w:val="18"/>
              </w:rPr>
              <w:t>前端按钮权限只用于展示，后端必须强制校验功能权限和数据范围。</w:t>
            </w:r>
          </w:p>
        </w:tc>
      </w:tr>
    </w:tbl>
    <w:p w14:paraId="4F04E525">
      <w:pPr>
        <w:spacing w:after="0"/>
      </w:pPr>
    </w:p>
    <w:p w14:paraId="4410D699">
      <w:pPr>
        <w:pStyle w:val="3"/>
        <w:keepNext/>
      </w:pPr>
      <w:r>
        <w:t>11. 根目录重要文件</w:t>
      </w:r>
    </w:p>
    <w:p w14:paraId="6403E6B0">
      <w:pPr>
        <w:pStyle w:val="4"/>
        <w:keepNext/>
      </w:pPr>
      <w:r>
        <w:t>11.1 后端重点文件</w:t>
      </w:r>
    </w:p>
    <w:p w14:paraId="5A63716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AGENTS.md</w:t>
      </w:r>
    </w:p>
    <w:p w14:paraId="4FD0B74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README.md</w:t>
      </w:r>
    </w:p>
    <w:p w14:paraId="3290D65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pyproject.toml</w:t>
      </w:r>
    </w:p>
    <w:p w14:paraId="1DB01DF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uv.lock</w:t>
      </w:r>
    </w:p>
    <w:p w14:paraId="56F3410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.env.example</w:t>
      </w:r>
    </w:p>
    <w:p w14:paraId="4F6FD18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Dockerfile</w:t>
      </w:r>
    </w:p>
    <w:p w14:paraId="5A09B18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docker-compose.dev.yml</w:t>
      </w:r>
    </w:p>
    <w:p w14:paraId="27A14E77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alembic.ini</w:t>
      </w:r>
    </w:p>
    <w:p w14:paraId="1668BD7A">
      <w:pPr>
        <w:pStyle w:val="4"/>
        <w:keepNext/>
      </w:pPr>
      <w:r>
        <w:t>11.2 前端重点文件</w:t>
      </w:r>
    </w:p>
    <w:p w14:paraId="456694C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AGENTS.md</w:t>
      </w:r>
    </w:p>
    <w:p w14:paraId="628DDCD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README.md</w:t>
      </w:r>
    </w:p>
    <w:p w14:paraId="2D54D13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package.json</w:t>
      </w:r>
    </w:p>
    <w:p w14:paraId="6FF41C0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package-lock.json</w:t>
      </w:r>
    </w:p>
    <w:p w14:paraId="2283D22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.env.example</w:t>
      </w:r>
    </w:p>
    <w:p w14:paraId="12845E09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vite.config.ts</w:t>
      </w:r>
    </w:p>
    <w:p w14:paraId="423C95D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tsconfig.json</w:t>
      </w:r>
    </w:p>
    <w:p w14:paraId="7E58F10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vitest.config.ts</w:t>
      </w:r>
    </w:p>
    <w:p w14:paraId="306B5DE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playwright.config.ts</w:t>
      </w:r>
    </w:p>
    <w:p w14:paraId="6849B503">
      <w:pPr>
        <w:pStyle w:val="16"/>
      </w:pPr>
      <w:r>
        <w:rPr>
          <w:rFonts w:ascii="Calibri" w:hAnsi="Calibri" w:eastAsia="Hiragino Sans GB"/>
          <w:color w:val="1F2933"/>
          <w:sz w:val="22"/>
        </w:rPr>
        <w:t>环境变量不得包含真实 Secret；.env 必须加入 .gitignore。</w:t>
      </w:r>
    </w:p>
    <w:p w14:paraId="67C4598B">
      <w:pPr>
        <w:pStyle w:val="16"/>
      </w:pPr>
      <w:r>
        <w:rPr>
          <w:rFonts w:ascii="Calibri" w:hAnsi="Calibri" w:eastAsia="Hiragino Sans GB"/>
          <w:color w:val="1F2933"/>
          <w:sz w:val="22"/>
        </w:rPr>
        <w:t>README 必须包含启动、测试、迁移和联调命令。</w:t>
      </w:r>
    </w:p>
    <w:p w14:paraId="5055A3F6">
      <w:pPr>
        <w:pStyle w:val="16"/>
      </w:pPr>
      <w:r>
        <w:rPr>
          <w:rFonts w:ascii="Calibri" w:hAnsi="Calibri" w:eastAsia="Hiragino Sans GB"/>
          <w:color w:val="1F2933"/>
          <w:sz w:val="22"/>
        </w:rPr>
        <w:t>每个独立仓库都必须有自己的 AGENTS.md。</w:t>
      </w:r>
    </w:p>
    <w:p w14:paraId="42CFC003">
      <w:pPr>
        <w:pStyle w:val="16"/>
      </w:pPr>
      <w:r>
        <w:rPr>
          <w:rFonts w:ascii="Calibri" w:hAnsi="Calibri" w:eastAsia="Hiragino Sans GB"/>
          <w:color w:val="1F2933"/>
          <w:sz w:val="22"/>
        </w:rPr>
        <w:t>.github、CI 和 CODEOWNERS 必须分别配置在两个仓库内。</w:t>
      </w:r>
    </w:p>
    <w:p w14:paraId="03CF772F">
      <w:pPr>
        <w:pStyle w:val="3"/>
        <w:keepNext/>
      </w:pPr>
      <w:r>
        <w:t>12. Git 协作方式</w:t>
      </w:r>
    </w:p>
    <w:p w14:paraId="5F169D3C">
      <w:r>
        <w:rPr>
          <w:rFonts w:ascii="Calibri" w:hAnsi="Calibri" w:eastAsia="Hiragino Sans GB"/>
          <w:color w:val="1F2933"/>
          <w:sz w:val="22"/>
        </w:rPr>
        <w:t>以下分支模型分别适用于两个独立业务仓库：</w:t>
      </w:r>
    </w:p>
    <w:p w14:paraId="37EADDE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main</w:t>
      </w:r>
    </w:p>
    <w:p w14:paraId="307DA0D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feature/M1-iam</w:t>
      </w:r>
    </w:p>
    <w:p w14:paraId="52D12E8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feature/M3-touchpoints</w:t>
      </w:r>
    </w:p>
    <w:p w14:paraId="6815B2D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├── feature/M5-resources</w:t>
      </w:r>
    </w:p>
    <w:p w14:paraId="449BB224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└── feature/M7-events</w:t>
      </w:r>
    </w:p>
    <w:p w14:paraId="159B0DB6">
      <w:pPr>
        <w:pStyle w:val="16"/>
      </w:pPr>
      <w:r>
        <w:rPr>
          <w:rFonts w:ascii="Calibri" w:hAnsi="Calibri" w:eastAsia="Hiragino Sans GB"/>
          <w:color w:val="1F2933"/>
          <w:sz w:val="22"/>
        </w:rPr>
        <w:t>main 禁止直接提交；功能分支从最新 main 创建。</w:t>
      </w:r>
    </w:p>
    <w:p w14:paraId="446D8388">
      <w:pPr>
        <w:pStyle w:val="16"/>
      </w:pPr>
      <w:r>
        <w:rPr>
          <w:rFonts w:ascii="Calibri" w:hAnsi="Calibri" w:eastAsia="Hiragino Sans GB"/>
          <w:color w:val="1F2933"/>
          <w:sz w:val="22"/>
        </w:rPr>
        <w:t>每个 PR 只处理一个业务功能或一个公共变更。</w:t>
      </w:r>
    </w:p>
    <w:p w14:paraId="2A3FA014">
      <w:pPr>
        <w:pStyle w:val="16"/>
      </w:pPr>
      <w:r>
        <w:rPr>
          <w:rFonts w:ascii="Calibri" w:hAnsi="Calibri" w:eastAsia="Hiragino Sans GB"/>
          <w:color w:val="1F2933"/>
          <w:sz w:val="22"/>
        </w:rPr>
        <w:t>后端和前端分别审核；API、数据库迁移、权限和公共代码变更必须双人审核。</w:t>
      </w:r>
    </w:p>
    <w:p w14:paraId="4CA6AF78">
      <w:pPr>
        <w:pStyle w:val="16"/>
      </w:pPr>
      <w:r>
        <w:rPr>
          <w:rFonts w:ascii="Calibri" w:hAnsi="Calibri" w:eastAsia="Hiragino Sans GB"/>
          <w:color w:val="1F2933"/>
          <w:sz w:val="22"/>
        </w:rPr>
        <w:t>不允许提交密码、Token、Webhook Secret 或生产配置。</w:t>
      </w:r>
    </w:p>
    <w:p w14:paraId="10396C3B">
      <w:pPr>
        <w:pStyle w:val="16"/>
      </w:pPr>
      <w:r>
        <w:rPr>
          <w:rFonts w:ascii="Calibri" w:hAnsi="Calibri" w:eastAsia="Hiragino Sans GB"/>
          <w:color w:val="1F2933"/>
          <w:sz w:val="22"/>
        </w:rPr>
        <w:t>CI、测试和代码审核通过后才能合并。</w:t>
      </w:r>
    </w:p>
    <w:p w14:paraId="1739C53B">
      <w:pPr>
        <w:pStyle w:val="16"/>
      </w:pPr>
      <w:r>
        <w:rPr>
          <w:rFonts w:ascii="Calibri" w:hAnsi="Calibri" w:eastAsia="Hiragino Sans GB"/>
          <w:color w:val="1F2933"/>
          <w:sz w:val="22"/>
        </w:rPr>
        <w:t>不额外维护长期 develop 分支。</w:t>
      </w:r>
    </w:p>
    <w:p w14:paraId="769EB565">
      <w:pPr>
        <w:pStyle w:val="16"/>
      </w:pPr>
      <w:r>
        <w:rPr>
          <w:rFonts w:ascii="Calibri" w:hAnsi="Calibri" w:eastAsia="Hiragino Sans GB"/>
          <w:color w:val="1F2933"/>
          <w:sz w:val="22"/>
        </w:rPr>
        <w:t>两个仓库分别进行版本和发布管理。</w:t>
      </w:r>
    </w:p>
    <w:p w14:paraId="5858FD90">
      <w:pPr>
        <w:pStyle w:val="3"/>
        <w:keepNext/>
      </w:pPr>
      <w:r>
        <w:t>13. 项目建设顺序</w:t>
      </w:r>
    </w:p>
    <w:p w14:paraId="43C69E65">
      <w:pPr>
        <w:pStyle w:val="4"/>
        <w:keepNext/>
      </w:pPr>
      <w:r>
        <w:t>13.1 阶段一：工程基线</w:t>
      </w:r>
    </w:p>
    <w:p w14:paraId="527BB07E">
      <w:pPr>
        <w:pStyle w:val="16"/>
      </w:pPr>
      <w:r>
        <w:rPr>
          <w:rFonts w:ascii="Calibri" w:hAnsi="Calibri" w:eastAsia="Hiragino Sans GB"/>
          <w:color w:val="1F2933"/>
          <w:sz w:val="22"/>
        </w:rPr>
        <w:t>创建两个仓库根配置并建立各自的 AGENTS.md。</w:t>
      </w:r>
    </w:p>
    <w:p w14:paraId="2A6D6F32">
      <w:pPr>
        <w:pStyle w:val="16"/>
      </w:pPr>
      <w:r>
        <w:rPr>
          <w:rFonts w:ascii="Calibri" w:hAnsi="Calibri" w:eastAsia="Hiragino Sans GB"/>
          <w:color w:val="1F2933"/>
          <w:sz w:val="22"/>
        </w:rPr>
        <w:t>初始化 FastAPI 后端和 React 前端。</w:t>
      </w:r>
    </w:p>
    <w:p w14:paraId="60701455">
      <w:pPr>
        <w:pStyle w:val="16"/>
      </w:pPr>
      <w:r>
        <w:rPr>
          <w:rFonts w:ascii="Calibri" w:hAnsi="Calibri" w:eastAsia="Hiragino Sans GB"/>
          <w:color w:val="1F2933"/>
          <w:sz w:val="22"/>
        </w:rPr>
        <w:t>配置 PostgreSQL、Redis、Celery 和 Alembic。</w:t>
      </w:r>
    </w:p>
    <w:p w14:paraId="14620A1E">
      <w:pPr>
        <w:pStyle w:val="16"/>
      </w:pPr>
      <w:r>
        <w:rPr>
          <w:rFonts w:ascii="Calibri" w:hAnsi="Calibri" w:eastAsia="Hiragino Sans GB"/>
          <w:color w:val="1F2933"/>
          <w:sz w:val="22"/>
        </w:rPr>
        <w:t>配置 Ruff、mypy、pytest、Vitest、Playwright 和基础 CI。</w:t>
      </w:r>
    </w:p>
    <w:p w14:paraId="1D82C795">
      <w:pPr>
        <w:pStyle w:val="4"/>
        <w:keepNext/>
      </w:pPr>
      <w:r>
        <w:t>13.2 阶段二：公共基础能力</w:t>
      </w:r>
    </w:p>
    <w:p w14:paraId="1795AAB3">
      <w:pPr>
        <w:pStyle w:val="16"/>
      </w:pPr>
      <w:r>
        <w:rPr>
          <w:rFonts w:ascii="Calibri" w:hAnsi="Calibri" w:eastAsia="Hiragino Sans GB"/>
          <w:color w:val="1F2933"/>
          <w:sz w:val="22"/>
        </w:rPr>
        <w:t>统一配置、异常、响应、日志和 Trace ID。</w:t>
      </w:r>
    </w:p>
    <w:p w14:paraId="50E52F2B">
      <w:pPr>
        <w:pStyle w:val="16"/>
      </w:pPr>
      <w:r>
        <w:rPr>
          <w:rFonts w:ascii="Calibri" w:hAnsi="Calibri" w:eastAsia="Hiragino Sans GB"/>
          <w:color w:val="1F2933"/>
          <w:sz w:val="22"/>
        </w:rPr>
        <w:t>建立 Snowflake、权限依赖和公共审计写入。</w:t>
      </w:r>
    </w:p>
    <w:p w14:paraId="206E1DDB">
      <w:pPr>
        <w:pStyle w:val="16"/>
      </w:pPr>
      <w:r>
        <w:rPr>
          <w:rFonts w:ascii="Calibri" w:hAnsi="Calibri" w:eastAsia="Hiragino Sans GB"/>
          <w:color w:val="1F2933"/>
          <w:sz w:val="22"/>
        </w:rPr>
        <w:t>建立 OpenAPI 同步脚本。</w:t>
      </w:r>
    </w:p>
    <w:p w14:paraId="38637F65">
      <w:pPr>
        <w:pStyle w:val="4"/>
        <w:keepNext/>
      </w:pPr>
      <w:r>
        <w:t>13.3 阶段三：数据库基线</w:t>
      </w:r>
    </w:p>
    <w:p w14:paraId="3923DC9A">
      <w:r>
        <w:rPr>
          <w:rFonts w:ascii="Calibri" w:hAnsi="Calibri" w:eastAsia="Hiragino Sans GB"/>
          <w:color w:val="1F2933"/>
          <w:sz w:val="22"/>
        </w:rPr>
        <w:t>优先实现：</w:t>
      </w:r>
    </w:p>
    <w:p w14:paraId="5D0A916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iam_*</w:t>
      </w:r>
    </w:p>
    <w:p w14:paraId="7CBFEED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operation_logs</w:t>
      </w:r>
    </w:p>
    <w:p w14:paraId="1E73E2FF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organization_units</w:t>
      </w:r>
    </w:p>
    <w:p w14:paraId="42BEBD6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customer_managers</w:t>
      </w:r>
    </w:p>
    <w:p w14:paraId="4D431623">
      <w:r>
        <w:rPr>
          <w:rFonts w:ascii="Calibri" w:hAnsi="Calibri" w:eastAsia="Hiragino Sans GB"/>
          <w:color w:val="1F2933"/>
          <w:sz w:val="22"/>
        </w:rPr>
        <w:t>再实现：</w:t>
      </w:r>
    </w:p>
    <w:p w14:paraId="1C8DF54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touchpoint_assets</w:t>
      </w:r>
    </w:p>
    <w:p w14:paraId="372622F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touchpoint_payloads</w:t>
      </w:r>
    </w:p>
    <w:p w14:paraId="0B2B7DD1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touchpoint_manager_assignments</w:t>
      </w:r>
    </w:p>
    <w:p w14:paraId="3D5324F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target_resources</w:t>
      </w:r>
    </w:p>
    <w:p w14:paraId="01020333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routing_rules</w:t>
      </w:r>
    </w:p>
    <w:p w14:paraId="31E2AB4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access_events</w:t>
      </w:r>
    </w:p>
    <w:p w14:paraId="6CC83A94">
      <w:pPr>
        <w:pStyle w:val="4"/>
        <w:keepNext/>
      </w:pPr>
      <w:r>
        <w:t>13.4 阶段四：首条垂直链路</w:t>
      </w:r>
    </w:p>
    <w:p w14:paraId="3449AF9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登录</w:t>
      </w:r>
    </w:p>
    <w:p w14:paraId="2C4F4962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组织查询</w:t>
      </w:r>
    </w:p>
    <w:p w14:paraId="465C8D4E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客户经理维护</w:t>
      </w:r>
    </w:p>
    <w:p w14:paraId="369F3965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NFC 资产录入</w:t>
      </w:r>
    </w:p>
    <w:p w14:paraId="6F2CCC8A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客户经理绑定</w:t>
      </w:r>
    </w:p>
    <w:p w14:paraId="1410D3FC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目标资源配置</w:t>
      </w:r>
    </w:p>
    <w:p w14:paraId="1EC9959B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路由发布</w:t>
      </w:r>
    </w:p>
    <w:p w14:paraId="34ED0650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模拟 Webhook</w:t>
      </w:r>
    </w:p>
    <w:p w14:paraId="4C53290D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access_events 幂等处理</w:t>
      </w:r>
    </w:p>
    <w:p w14:paraId="4E2AE576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统计查询</w:t>
      </w:r>
    </w:p>
    <w:p w14:paraId="185BE458">
      <w:pPr>
        <w:pStyle w:val="164"/>
      </w:pPr>
      <w:r>
        <w:rPr>
          <w:rFonts w:ascii="Courier New" w:hAnsi="Courier New" w:eastAsia="Hiragino Sans GB"/>
          <w:color w:val="1F4D78"/>
          <w:sz w:val="18"/>
        </w:rPr>
        <w:t>→ 数据导出</w:t>
      </w:r>
    </w:p>
    <w:p w14:paraId="42122E6C">
      <w:r>
        <w:rPr>
          <w:rFonts w:ascii="Calibri" w:hAnsi="Calibri" w:eastAsia="Hiragino Sans GB"/>
          <w:color w:val="1F2933"/>
          <w:sz w:val="22"/>
        </w:rPr>
        <w:t>本期不依赖真实 H5 和银行 App；NFC 使用接口和 Mock 先行。</w:t>
      </w:r>
    </w:p>
    <w:p w14:paraId="0ACA48F4">
      <w:pPr>
        <w:pStyle w:val="4"/>
        <w:keepNext/>
      </w:pPr>
      <w:r>
        <w:t>13.5 阶段五：M1～M8 并行开发</w:t>
      </w:r>
    </w:p>
    <w:p w14:paraId="5F1F5A81">
      <w:pPr>
        <w:pStyle w:val="16"/>
      </w:pPr>
      <w:r>
        <w:rPr>
          <w:rFonts w:ascii="Calibri" w:hAnsi="Calibri" w:eastAsia="Hiragino Sans GB"/>
          <w:color w:val="1F2933"/>
          <w:sz w:val="22"/>
        </w:rPr>
        <w:t>M1～M4 与 M5～M8 可以分别分工。</w:t>
      </w:r>
    </w:p>
    <w:p w14:paraId="1C8B5868">
      <w:pPr>
        <w:pStyle w:val="16"/>
      </w:pPr>
      <w:r>
        <w:rPr>
          <w:rFonts w:ascii="Calibri" w:hAnsi="Calibri" w:eastAsia="Hiragino Sans GB"/>
          <w:color w:val="1F2933"/>
          <w:sz w:val="22"/>
        </w:rPr>
        <w:t>任何模块完成接口后立即更新 OpenAPI。</w:t>
      </w:r>
    </w:p>
    <w:p w14:paraId="107927A3">
      <w:pPr>
        <w:pStyle w:val="16"/>
      </w:pPr>
      <w:r>
        <w:rPr>
          <w:rFonts w:ascii="Calibri" w:hAnsi="Calibri" w:eastAsia="Hiragino Sans GB"/>
          <w:color w:val="1F2933"/>
          <w:sz w:val="22"/>
        </w:rPr>
        <w:t>每周至少进行一次跨仓库联调，不等待全部模块完成。</w:t>
      </w:r>
    </w:p>
    <w:p w14:paraId="6E8B49E4">
      <w:pPr>
        <w:pStyle w:val="16"/>
      </w:pPr>
      <w:r>
        <w:rPr>
          <w:rFonts w:ascii="Calibri" w:hAnsi="Calibri" w:eastAsia="Hiragino Sans GB"/>
          <w:color w:val="1F2933"/>
          <w:sz w:val="22"/>
        </w:rPr>
        <w:t>每个模块同步完成代码、测试、权限和审计。</w:t>
      </w:r>
    </w:p>
    <w:p w14:paraId="106B1336">
      <w:pPr>
        <w:pStyle w:val="3"/>
        <w:keepNext/>
      </w:pPr>
      <w:r>
        <w:t>14. 开发前完成标准</w:t>
      </w:r>
    </w:p>
    <w:p w14:paraId="2FD5E9C8">
      <w:r>
        <w:rPr>
          <w:rFonts w:ascii="Calibri" w:hAnsi="Calibri" w:eastAsia="Hiragino Sans GB"/>
          <w:color w:val="1F2933"/>
          <w:sz w:val="22"/>
        </w:rPr>
        <w:t>满足以下条件后，才进入正式业务开发：</w:t>
      </w:r>
    </w:p>
    <w:p w14:paraId="29A21033">
      <w:pPr>
        <w:pStyle w:val="16"/>
      </w:pPr>
      <w:r>
        <w:rPr>
          <w:rFonts w:ascii="Calibri" w:hAnsi="Calibri" w:eastAsia="Hiragino Sans GB"/>
          <w:color w:val="1F2933"/>
          <w:sz w:val="22"/>
        </w:rPr>
        <w:t>两个 GitHub 仓库权限和分支保护完成。</w:t>
      </w:r>
    </w:p>
    <w:p w14:paraId="0802A6C5">
      <w:pPr>
        <w:pStyle w:val="16"/>
      </w:pPr>
      <w:r>
        <w:rPr>
          <w:rFonts w:ascii="Calibri" w:hAnsi="Calibri" w:eastAsia="Hiragino Sans GB"/>
          <w:color w:val="1F2933"/>
          <w:sz w:val="22"/>
        </w:rPr>
        <w:t>两个仓库均能本地启动；FastAPI 健康检查可访问；React 管理后台可以构建。</w:t>
      </w:r>
    </w:p>
    <w:p w14:paraId="67101F62">
      <w:pPr>
        <w:pStyle w:val="16"/>
      </w:pPr>
      <w:r>
        <w:rPr>
          <w:rFonts w:ascii="Calibri" w:hAnsi="Calibri" w:eastAsia="Hiragino Sans GB"/>
          <w:color w:val="1F2933"/>
          <w:sz w:val="22"/>
        </w:rPr>
        <w:t>PostgreSQL 和 Redis 可连接；Alembic 可以在空数据库完成迁移。</w:t>
      </w:r>
    </w:p>
    <w:p w14:paraId="7F6F0EF6">
      <w:pPr>
        <w:pStyle w:val="16"/>
      </w:pPr>
      <w:r>
        <w:rPr>
          <w:rFonts w:ascii="Calibri" w:hAnsi="Calibri" w:eastAsia="Hiragino Sans GB"/>
          <w:color w:val="1F2933"/>
          <w:sz w:val="22"/>
        </w:rPr>
        <w:t>Snowflake 生成规则已验证；.env.example 完整；仓库中没有真实密钥。</w:t>
      </w:r>
    </w:p>
    <w:p w14:paraId="2F001A43">
      <w:pPr>
        <w:pStyle w:val="16"/>
      </w:pPr>
      <w:r>
        <w:rPr>
          <w:rFonts w:ascii="Calibri" w:hAnsi="Calibri" w:eastAsia="Hiragino Sans GB"/>
          <w:color w:val="1F2933"/>
          <w:sz w:val="22"/>
        </w:rPr>
        <w:t>公共响应、异常、日志、分页和 ID 规则已统一。</w:t>
      </w:r>
    </w:p>
    <w:p w14:paraId="3C3EBFF9">
      <w:pPr>
        <w:pStyle w:val="16"/>
      </w:pPr>
      <w:r>
        <w:rPr>
          <w:rFonts w:ascii="Calibri" w:hAnsi="Calibri" w:eastAsia="Hiragino Sans GB"/>
          <w:color w:val="1F2933"/>
          <w:sz w:val="22"/>
        </w:rPr>
        <w:t>M1～M8 目录职责已确认；OpenAPI 第一批接口已确认；同步脚本可运行。</w:t>
      </w:r>
    </w:p>
    <w:p w14:paraId="1D7DD9B5">
      <w:pPr>
        <w:pStyle w:val="16"/>
      </w:pPr>
      <w:r>
        <w:rPr>
          <w:rFonts w:ascii="Calibri" w:hAnsi="Calibri" w:eastAsia="Hiragino Sans GB"/>
          <w:color w:val="1F2933"/>
          <w:sz w:val="22"/>
        </w:rPr>
        <w:t>Casdoor JWT 验证可运行；LinkForty API 调用方式已确认。</w:t>
      </w:r>
    </w:p>
    <w:p w14:paraId="285C12FE">
      <w:pPr>
        <w:pStyle w:val="16"/>
      </w:pPr>
      <w:r>
        <w:rPr>
          <w:rFonts w:ascii="Calibri" w:hAnsi="Calibri" w:eastAsia="Hiragino Sans GB"/>
          <w:color w:val="1F2933"/>
          <w:sz w:val="22"/>
        </w:rPr>
        <w:t>Webhook 验签和幂等测试已准备；NFC Mock 可以运行。</w:t>
      </w:r>
    </w:p>
    <w:p w14:paraId="275BA925">
      <w:pPr>
        <w:pStyle w:val="16"/>
      </w:pPr>
      <w:r>
        <w:rPr>
          <w:rFonts w:ascii="Calibri" w:hAnsi="Calibri" w:eastAsia="Hiragino Sans GB"/>
          <w:color w:val="1F2933"/>
          <w:sz w:val="22"/>
        </w:rPr>
        <w:t>后端和前端 CI 基础检查已通过；首条垂直链路的测试数据已准备。</w:t>
      </w:r>
    </w:p>
    <w:p w14:paraId="58B0339D">
      <w:pPr>
        <w:pStyle w:val="3"/>
        <w:keepNext/>
      </w:pPr>
      <w:r>
        <w:t>15. 目录建设结论</w:t>
      </w:r>
    </w:p>
    <w:p w14:paraId="57B62367">
      <w:pPr>
        <w:pStyle w:val="16"/>
      </w:pPr>
      <w:r>
        <w:rPr>
          <w:rFonts w:ascii="Calibri" w:hAnsi="Calibri" w:eastAsia="Hiragino Sans GB"/>
          <w:color w:val="1F2933"/>
          <w:sz w:val="22"/>
        </w:rPr>
        <w:t>bank-touchpoint-platform 作为平台项目名称保留。</w:t>
      </w:r>
    </w:p>
    <w:p w14:paraId="1FACC839">
      <w:pPr>
        <w:pStyle w:val="16"/>
      </w:pPr>
      <w:r>
        <w:rPr>
          <w:rFonts w:ascii="Calibri" w:hAnsi="Calibri" w:eastAsia="Hiragino Sans GB"/>
          <w:color w:val="1F2933"/>
          <w:sz w:val="22"/>
        </w:rPr>
        <w:t>不建立新的单体平台代码仓库；使用两个独立业务仓库承载后端和管理后台。</w:t>
      </w:r>
    </w:p>
    <w:p w14:paraId="61499260">
      <w:pPr>
        <w:pStyle w:val="16"/>
      </w:pPr>
      <w:r>
        <w:rPr>
          <w:rFonts w:ascii="Calibri" w:hAnsi="Calibri" w:eastAsia="Hiragino Sans GB"/>
          <w:color w:val="1F2933"/>
          <w:sz w:val="22"/>
        </w:rPr>
        <w:t>后端采用 src/app + 业务模块化单体；前端采用 React 模块化页面结构。</w:t>
      </w:r>
    </w:p>
    <w:p w14:paraId="159EB06C">
      <w:pPr>
        <w:pStyle w:val="16"/>
      </w:pPr>
      <w:r>
        <w:rPr>
          <w:rFonts w:ascii="Calibri" w:hAnsi="Calibri" w:eastAsia="Hiragino Sans GB"/>
          <w:color w:val="1F2933"/>
          <w:sz w:val="22"/>
        </w:rPr>
        <w:t>docs 仓库继续作为正式需求、架构、API、数据库和测试基线。</w:t>
      </w:r>
    </w:p>
    <w:p w14:paraId="6AD40879">
      <w:pPr>
        <w:pStyle w:val="16"/>
      </w:pPr>
      <w:r>
        <w:rPr>
          <w:rFonts w:ascii="Calibri" w:hAnsi="Calibri" w:eastAsia="Hiragino Sans GB"/>
          <w:color w:val="1F2933"/>
          <w:sz w:val="22"/>
        </w:rPr>
        <w:t>LinkForty Core 保持独立；H5 和演示客户端后置。</w:t>
      </w:r>
    </w:p>
    <w:p w14:paraId="5850721B">
      <w:pPr>
        <w:pStyle w:val="16"/>
      </w:pPr>
      <w:r>
        <w:rPr>
          <w:rFonts w:ascii="Calibri" w:hAnsi="Calibri" w:eastAsia="Hiragino Sans GB"/>
          <w:color w:val="1F2933"/>
          <w:sz w:val="22"/>
        </w:rPr>
        <w:t>NFC 采用接口和 Mock 先行。</w:t>
      </w:r>
    </w:p>
    <w:p w14:paraId="1B1EF490">
      <w:pPr>
        <w:pStyle w:val="16"/>
      </w:pPr>
      <w:r>
        <w:rPr>
          <w:rFonts w:ascii="Calibri" w:hAnsi="Calibri" w:eastAsia="Hiragino Sans GB"/>
          <w:color w:val="1F2933"/>
          <w:sz w:val="22"/>
        </w:rPr>
        <w:t>不引入微服务、CQRS 或复杂 Clean Architecture。</w:t>
      </w:r>
    </w:p>
    <w:p w14:paraId="1AFE9849">
      <w:pPr>
        <w:pStyle w:val="16"/>
      </w:pPr>
      <w:r>
        <w:rPr>
          <w:rFonts w:ascii="Calibri" w:hAnsi="Calibri" w:eastAsia="Hiragino Sans GB"/>
          <w:color w:val="1F2933"/>
          <w:sz w:val="22"/>
        </w:rPr>
        <w:t>不重复维护两套没有职责差异的业务目录。</w:t>
      </w:r>
    </w:p>
    <w:p w14:paraId="62EB0421">
      <w:pPr>
        <w:pStyle w:val="16"/>
      </w:pPr>
      <w:r>
        <w:rPr>
          <w:rFonts w:ascii="Calibri" w:hAnsi="Calibri" w:eastAsia="Hiragino Sans GB"/>
          <w:color w:val="1F2933"/>
          <w:sz w:val="22"/>
        </w:rPr>
        <w:t>不将前端作为业务规则来源，不将 LinkForty Core 代码复制到银行平台。</w:t>
      </w:r>
    </w:p>
    <w:tbl>
      <w:tblPr>
        <w:tblStyle w:val="32"/>
        <w:tblW w:w="912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6F696EB1">
        <w:tc>
          <w:tcPr>
            <w:tcW w:w="9120" w:type="dxa"/>
            <w:tcBorders>
              <w:top w:val="single" w:color="B8CBE0" w:sz="8" w:space="0"/>
              <w:left w:val="single" w:color="B8CBE0" w:sz="8" w:space="0"/>
              <w:bottom w:val="single" w:color="B8CBE0" w:sz="8" w:space="0"/>
              <w:right w:val="single" w:color="B8CBE0" w:sz="8" w:space="0"/>
              <w:insideH w:val="single" w:sz="8" w:space="0"/>
              <w:insideV w:val="single" w:sz="8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A0F9"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0"/>
              </w:rPr>
              <w:t xml:space="preserve">最终边界  </w:t>
            </w:r>
            <w:r>
              <w:rPr>
                <w:rFonts w:ascii="Calibri" w:hAnsi="Calibri" w:eastAsia="Hiragino Sans GB"/>
                <w:color w:val="1F2933"/>
                <w:sz w:val="20"/>
              </w:rPr>
              <w:t>该目录方案服务于清晰分工、可审计协作和跨仓库联调；任何后续目录变化都应同步更新 docs 基线并说明影响范围。</w:t>
            </w:r>
          </w:p>
        </w:tc>
      </w:tr>
    </w:tbl>
    <w:p w14:paraId="0632214F">
      <w:pPr>
        <w:spacing w:after="0"/>
      </w:pPr>
    </w:p>
    <w:sectPr>
      <w:headerReference r:id="rId5" w:type="default"/>
      <w:footerReference r:id="rId6" w:type="default"/>
      <w:pgSz w:w="12240" w:h="15840"/>
      <w:pgMar w:top="1181" w:right="1440" w:bottom="108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0A77A">
    <w:pPr>
      <w:pStyle w:val="24"/>
      <w:jc w:val="center"/>
    </w:pPr>
    <w:r>
      <w:rPr>
        <w:rFonts w:ascii="Calibri" w:hAnsi="Calibri" w:eastAsia="Hiragino Sans GB"/>
        <w:color w:val="5F6368"/>
        <w:sz w:val="18"/>
      </w:rPr>
      <w:t xml:space="preserve">V1.0  ·  第 </w:t>
    </w:r>
    <w:r>
      <w:rPr>
        <w:rFonts w:ascii="Calibri" w:hAnsi="Calibri" w:eastAsia="Hiragino Sans GB"/>
        <w:color w:val="5F6368"/>
        <w:sz w:val="18"/>
      </w:rPr>
      <w:fldChar w:fldCharType="begin"/>
    </w:r>
    <w:r>
      <w:rPr>
        <w:rFonts w:ascii="Calibri" w:hAnsi="Calibri" w:eastAsia="Hiragino Sans GB"/>
        <w:color w:val="5F6368"/>
        <w:sz w:val="18"/>
      </w:rPr>
      <w:instrText xml:space="preserve"> PAGE </w:instrText>
    </w:r>
    <w:r>
      <w:rPr>
        <w:rFonts w:ascii="Calibri" w:hAnsi="Calibri" w:eastAsia="Hiragino Sans GB"/>
        <w:color w:val="5F6368"/>
        <w:sz w:val="18"/>
      </w:rPr>
      <w:fldChar w:fldCharType="end"/>
    </w:r>
    <w:r>
      <w:rPr>
        <w:rFonts w:ascii="Calibri" w:hAnsi="Calibri" w:eastAsia="Hiragino Sans GB"/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FACA">
    <w:pPr>
      <w:pStyle w:val="25"/>
      <w:jc w:val="right"/>
    </w:pPr>
    <w:r>
      <w:rPr>
        <w:rFonts w:ascii="Calibri" w:hAnsi="Calibri" w:eastAsia="Hiragino Sans GB"/>
        <w:color w:val="5F6368"/>
        <w:sz w:val="17"/>
      </w:rPr>
      <w:t>bank-touchpoint-platform  ·  项目目录建设与说明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6DEE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Hiragino Sans GB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52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52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52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Hiragino Sans GB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Hiragino Sans GB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480"/>
    </w:pPr>
    <w:rPr>
      <w:rFonts w:asciiTheme="majorHAnsi" w:hAnsiTheme="majorHAnsi" w:eastAsiaTheme="majorEastAsia" w:cstheme="majorBidi"/>
      <w:i/>
      <w:iCs/>
      <w:color w:val="2E74B5"/>
      <w:spacing w:val="15"/>
      <w:sz w:val="3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200" w:after="160" w:line="240" w:lineRule="auto"/>
      <w:contextualSpacing/>
    </w:pPr>
    <w:rPr>
      <w:rFonts w:asciiTheme="majorHAnsi" w:hAnsiTheme="majorHAnsi" w:eastAsiaTheme="majorEastAsia" w:cstheme="majorBidi"/>
      <w:b/>
      <w:color w:val="1F2933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keepNext/>
      <w:spacing w:before="360" w:after="200"/>
      <w:outlineLvl w:val="9"/>
    </w:pPr>
    <w:rPr>
      <w:rFonts w:ascii="Calibri" w:hAnsi="Calibri" w:eastAsia="Hiragino Sans GB"/>
      <w:color w:val="2E74B5"/>
      <w:sz w:val="32"/>
    </w:rPr>
  </w:style>
  <w:style w:type="paragraph" w:customStyle="1" w:styleId="164">
    <w:name w:val="CodeBlock"/>
    <w:uiPriority w:val="0"/>
    <w:pPr>
      <w:keepLines/>
      <w:spacing w:after="40" w:line="252" w:lineRule="auto"/>
      <w:ind w:left="259"/>
    </w:pPr>
    <w:rPr>
      <w:rFonts w:ascii="Courier New" w:hAnsi="Courier New" w:eastAsia="Hiragino Sans GB" w:cstheme="minorBidi"/>
      <w:color w:val="1F4D78"/>
      <w:sz w:val="18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160" w:line="276" w:lineRule="auto"/>
    </w:pPr>
    <w:rPr>
      <w:rFonts w:ascii="Calibri" w:hAnsi="Calibri" w:eastAsia="Hiragino Sans GB" w:cstheme="minorBidi"/>
      <w:color w:val="5F6368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项目工程团队</dc:creator>
  <dc:description>generated by python-docx</dc:description>
  <cp:keywords>bank-touchpoint-platform, NFC, 目录, 架构, 协作</cp:keywords>
  <cp:lastModifiedBy>诗酒趁年华</cp:lastModifiedBy>
  <dcterms:modified xsi:type="dcterms:W3CDTF">2026-08-17T16:53:58Z</dcterms:modified>
  <dc:subject>银行触点载体管理平台项目目录建设目标与协作说明</dc:subject>
  <dc:title>bank-touchpoint-platform 项目目录建设与说明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1F8D5B9C8B6DD04826CC826AE4EDA68C_42</vt:lpwstr>
  </property>
</Properties>
</file>