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after="160"/>
      </w:pPr>
      <w:r>
        <w:rPr>
          <w:rFonts w:ascii="Arial Unicode MS" w:hAnsi="Arial Unicode MS" w:eastAsia="Arial Unicode MS" w:cs="Arial Unicode MS"/>
          <w:b/>
          <w:color w:val="1F2D3D"/>
          <w:sz w:val="56"/>
        </w:rPr>
        <w:t>bank-touchpoint-platform</w:t>
      </w:r>
    </w:p>
    <w:p>
      <w:pPr>
        <w:pStyle w:val="26"/>
      </w:pPr>
      <w:r>
        <w:rPr>
          <w:rFonts w:ascii="Arial Unicode MS" w:hAnsi="Arial Unicode MS" w:eastAsia="Arial Unicode MS" w:cs="Arial Unicode MS"/>
          <w:color w:val="666666"/>
          <w:sz w:val="32"/>
        </w:rPr>
        <w:t>项目目录建设与说明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66666"/>
          <w:sz w:val="21"/>
        </w:rPr>
        <w:t xml:space="preserve">版本  </w:t>
      </w:r>
      <w:r>
        <w:rPr>
          <w:rFonts w:ascii="Arial Unicode MS" w:hAnsi="Arial Unicode MS" w:eastAsia="Arial Unicode MS" w:cs="Arial Unicode MS"/>
          <w:sz w:val="21"/>
        </w:rPr>
        <w:t>V2.0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66666"/>
          <w:sz w:val="21"/>
        </w:rPr>
        <w:t xml:space="preserve">基线  </w:t>
      </w:r>
      <w:r>
        <w:rPr>
          <w:rFonts w:ascii="Arial Unicode MS" w:hAnsi="Arial Unicode MS" w:eastAsia="Arial Unicode MS" w:cs="Arial Unicode MS"/>
          <w:sz w:val="21"/>
        </w:rPr>
        <w:t>数据物理模型 V1.3.2；MVP 功能模块划分分析方案 V3.1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66666"/>
          <w:sz w:val="21"/>
        </w:rPr>
        <w:t xml:space="preserve">文档性质  </w:t>
      </w:r>
      <w:r>
        <w:rPr>
          <w:rFonts w:ascii="Arial Unicode MS" w:hAnsi="Arial Unicode MS" w:eastAsia="Arial Unicode MS" w:cs="Arial Unicode MS"/>
          <w:sz w:val="21"/>
        </w:rPr>
        <w:t>目标工程组织、仓库边界与协作说明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66666"/>
          <w:sz w:val="21"/>
        </w:rPr>
        <w:t xml:space="preserve">适用范围  </w:t>
      </w:r>
      <w:r>
        <w:rPr>
          <w:rFonts w:ascii="Arial Unicode MS" w:hAnsi="Arial Unicode MS" w:eastAsia="Arial Unicode MS" w:cs="Arial Unicode MS"/>
          <w:sz w:val="21"/>
        </w:rPr>
        <w:t>项目初始化、协作开发、跨仓库联调与目录评审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66666"/>
          <w:sz w:val="21"/>
        </w:rPr>
        <w:t xml:space="preserve">日期  </w:t>
      </w:r>
      <w:r>
        <w:rPr>
          <w:rFonts w:ascii="Arial Unicode MS" w:hAnsi="Arial Unicode MS" w:eastAsia="Arial Unicode MS" w:cs="Arial Unicode MS"/>
          <w:sz w:val="21"/>
        </w:rPr>
        <w:t>2026 年 8 月 19 日</w:t>
      </w:r>
    </w:p>
    <w:p>
      <w:r>
        <w:br/>
      </w:r>
    </w:p>
    <w:p>
      <w:pPr>
        <w:pStyle w:val="165"/>
      </w:pPr>
      <w:r>
        <w:rPr>
          <w:rFonts w:ascii="Arial Unicode MS" w:hAnsi="Arial Unicode MS" w:eastAsia="Arial Unicode MS" w:cs="Arial Unicode MS"/>
          <w:color w:val="666666"/>
          <w:sz w:val="18"/>
        </w:rPr>
        <w:t>阅读提示：本文是 V2.0 目录设计与协作边界，不把目录、接口草案、迁移或静态页面描述为已完成业务。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目录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1. 文档目的与基线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2. 工作区边界与状态标记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3. 最新工作区目录设计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4. 一级目录职责说明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5. M1～M5 模块对应关系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6. 模块内部结构与分层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7. 公共基础与横向能力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8. 外部系统集成目录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9. 数据库与迁移边界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10. 接口规范与文档同步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11. 根目录文件与当前实现状态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12. Git 协作与双人工作包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13. 建设顺序与开发前完成标准</w:t>
      </w:r>
    </w:p>
    <w:p>
      <w:pPr>
        <w:spacing w:after="60"/>
        <w:ind w:left="216"/>
      </w:pPr>
      <w:r>
        <w:rPr>
          <w:rFonts w:ascii="Arial Unicode MS" w:hAnsi="Arial Unicode MS" w:eastAsia="Arial Unicode MS" w:cs="Arial Unicode MS"/>
          <w:sz w:val="21"/>
        </w:rPr>
        <w:t>14. 目录建设结论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1. 文档目的与基线</w:t>
      </w:r>
    </w:p>
    <w:p>
      <w:pPr>
        <w:spacing w:after="100" w:line="269" w:lineRule="auto"/>
      </w:pPr>
      <w:r>
        <w:rPr>
          <w:rFonts w:ascii="Arial Unicode MS" w:hAnsi="Arial Unicode MS" w:eastAsia="Arial Unicode MS" w:cs="Arial Unicode MS"/>
          <w:sz w:val="21"/>
        </w:rPr>
        <w:t>本文定义银行触点载体管理系统的最新工作区结构、仓库边界、业务模块落点、外部集成位置和协作规则，用于指导后续目录演进与跨仓库联调。</w:t>
      </w:r>
    </w:p>
    <w:p>
      <w:pPr>
        <w:spacing w:after="100" w:line="269" w:lineRule="auto"/>
      </w:pPr>
      <w:r>
        <w:rPr>
          <w:rFonts w:ascii="Arial Unicode MS" w:hAnsi="Arial Unicode MS" w:eastAsia="Arial Unicode MS" w:cs="Arial Unicode MS"/>
          <w:sz w:val="21"/>
        </w:rPr>
        <w:t>当前业务事实以数据物理模型 V1.3.2 为准，模块编号与研发工作包以 MVP 功能模块划分分析方案 V3.1 为准。V1.3.2 的数据结构优先于历史版本或模块文档中残留的旧表述。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有效业务模块为 M1～M5；旧 M1～M8 编号只用于迁移追溯，不得继续用于新需求、研发任务或验收项。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银行侧保留 7 张业务表：operation_logs、organization_units、employees、touchpoint_assets、touchpoint_payloads、touchpoint_employee_assignments、access_events。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Casdoor 负责身份、角色和功能权限；LinkForty 负责链接、点击、Webhook 和访问底层能力；NFC 仅通过适配接口进入银行后台。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本文本身不修改 OpenAPI、数据库字典或业务代码；正式事实仍由 docs 仓库相应基线文件维护。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2. 工作区边界与状态标记</w:t>
      </w:r>
    </w:p>
    <w:p>
      <w:pPr>
        <w:spacing w:after="100" w:line="269" w:lineRule="auto"/>
      </w:pPr>
      <w:r>
        <w:rPr>
          <w:rFonts w:ascii="Arial Unicode MS" w:hAnsi="Arial Unicode MS" w:eastAsia="Arial Unicode MS" w:cs="Arial Unicode MS"/>
          <w:sz w:val="21"/>
        </w:rPr>
        <w:t>工作区由多个独立仓库组成，不新增一个承载全部业务代码的单体平台仓库。银行后台与 LinkForty Core 分开建设，前端只调用银行后台 API。</w:t>
      </w:r>
    </w:p>
    <w:p>
      <w:pPr>
        <w:pStyle w:val="164"/>
        <w:spacing w:after="20" w:line="240" w:lineRule="auto"/>
        <w:ind w:left="259"/>
      </w:pPr>
      <w:r>
        <w:rPr>
          <w:rFonts w:ascii="DejaVu Sans Mono" w:hAnsi="DejaVu Sans Mono" w:eastAsia="DejaVu Sans Mono" w:cs="DejaVu Sans Mono"/>
          <w:color w:val="315B82"/>
          <w:sz w:val="16"/>
        </w:rPr>
        <w:t>workspace/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bank-touchpoint-backend/        # 【现有 / 目标】Python + FastAPI 银行后台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bank-touchpoint-frontend/       # 【现有 / 目标】React + TypeScript 管理后台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docs/                           # 【现有 / 权威】产品、架构、API、数据、安全和测试基线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linkforty/core/                 # 【现有 / 外部】LinkForty Core 独立服务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└── card-switch-demo/               # 【现有 / 演示】演示页面，不属于银行后台 MVP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标记</w:t>
            </w:r>
          </w:p>
        </w:tc>
        <w:tc>
          <w:tcPr>
            <w:tcW w:type="dxa" w:w="288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含义</w:t>
            </w:r>
          </w:p>
        </w:tc>
        <w:tc>
          <w:tcPr>
            <w:tcW w:type="dxa" w:w="5328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文档使用规则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现有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当前仓库可见的文件或目录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只说明工程骨架或边界存在，不等于业务功能已完成。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目标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按 V1.3.2 / V3.1 建议的最终组织方式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用于后续实现和评审，业务规则仍以 docs 基线为准。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迁移期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历史路径或兼容说明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可保留 README 说明，不新增旧模型、旧 API 或旧模块职责。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禁止新建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本版本明确下线或越界的目录/对象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不创建数据库表、页面菜单、API 或外部写入流程。</w:t>
            </w:r>
          </w:p>
        </w:tc>
      </w:tr>
    </w:tbl>
    <w:p>
      <w:pPr>
        <w:spacing w:after="0"/>
      </w:pP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银行后台只写 bank_admin Schema 的业务表；LinkForty 写入必须通过 API，读取事件使用受限只读边界。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当前仓库可见实现仍是工程骨架、健康检查、迁移和外部边界占位；目录设计不代表 M1～M5 已完成。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3. 最新工作区目录设计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F75B5"/>
          <w:sz w:val="24"/>
        </w:rPr>
        <w:t>3.1 后端目标目录</w:t>
      </w:r>
    </w:p>
    <w:p>
      <w:pPr>
        <w:pStyle w:val="164"/>
        <w:spacing w:after="20" w:line="240" w:lineRule="auto"/>
        <w:ind w:left="259"/>
      </w:pPr>
      <w:r>
        <w:rPr>
          <w:rFonts w:ascii="DejaVu Sans Mono" w:hAnsi="DejaVu Sans Mono" w:eastAsia="DejaVu Sans Mono" w:cs="DejaVu Sans Mono"/>
          <w:color w:val="315B82"/>
          <w:sz w:val="16"/>
        </w:rPr>
        <w:t>bank-touchpoint-backend/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src/app/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api/                         # 【现有 / 目标】API 版本入口、路由注册和统一响应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core/                        # 【现有 / 目标】配置、安全、权限基础设施、日志、Trace、审计写入、Snowflake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db/                          # 【现有 / 目标】SQLAlchemy Base、Session、事务和数据库类型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common/                      # 【现有 / 目标】分页、时钟、幂等和真正跨模块的纯公共类型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modules/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audit/                   # 【现有 / 目标】M1 后台访问与操作审计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organizations/           # 【现有 / 目标】M2 组织与员工管理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│   └── employees/           # 【目标】M2 员工主数据子功能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touchpoints/             # 【现有 / 目标】M3 NFC 资产与载体内容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assignments/             # 【现有 / 目标】M4 员工绑定生命周期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events/                  # 【现有 / 目标】M5 访问事件接入与关联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└── analytics/               # 【现有 / 横向】统计查询与导出，不占 M 编号、无专属表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integrations/                # 【现有 / 目标】Casdoor、LinkForty、NFC 适配器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casdoor/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linkforty/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└── nfc/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└── workers/                     # 【现有 / 目标】Celery 异步任务、重试、补偿和对账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alembic/versions/                # 【现有 / 目标】银行侧 7 张表的独立 Revision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database/{seeds,checks}/          # 【现有 / 目标】种子、检查和辅助说明，不放正式 DDL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scripts/                          # 【现有 / 目标】开发、数据准备和联调辅助脚本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tests/                            # 【现有 / 目标】单元、API、集成、权限、幂等和迁移测试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docs/                             # 【现有 / 目标】后端启动、测试和联调说明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└── .github/                          # 【目标】CI、PR 模板、CODEOWNERS 和分支检查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F75B5"/>
          <w:sz w:val="24"/>
        </w:rPr>
        <w:t>3.2 前端目标目录</w:t>
      </w:r>
    </w:p>
    <w:p>
      <w:pPr>
        <w:pStyle w:val="164"/>
        <w:spacing w:after="20" w:line="240" w:lineRule="auto"/>
        <w:ind w:left="259"/>
      </w:pPr>
      <w:r>
        <w:rPr>
          <w:rFonts w:ascii="DejaVu Sans Mono" w:hAnsi="DejaVu Sans Mono" w:eastAsia="DejaVu Sans Mono" w:cs="DejaVu Sans Mono"/>
          <w:color w:val="315B82"/>
          <w:sz w:val="16"/>
        </w:rPr>
        <w:t>bank-touchpoint-frontend/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src/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app/                         # 【现有 / 目标】应用初始化、Provider 和全局错误边界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api/                         # 【现有 / 目标】银行后台 API 封装和生成类型使用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components/                  # 【现有 / 目标】不承载业务规则的跨页面 UI 组件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layouts/                     # 【现有 / 目标】后台布局、导航、面包屑和权限菜单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modules/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auth/                    # 【现有 / 目标】M1 登录和访问上下文展示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audit/                   # 【现有 / 目标】M1 审计查询页面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organizations/           # 【现有 / 目标】M2 组织与员工页面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touchpoints/             # 【现有 / 目标】M3 NFC 资产与内容页面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assignments/             # 【现有 / 目标】M4 绑定、解绑和历史页面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events/                  # 【现有 / 目标】M5 访问事件页面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├── analytics/               # 【现有 / 横向】统计与导出页面，不作为 M8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│   └── home/                    # 【现有 / 壳层】首页和初始化工作台，不属于业务模块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routes/                      # 【现有 / 目标】React Router 和鉴权入口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stores/                      # 【现有 / 目标】客户端状态；服务端状态由 TanStack Query 管理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types/                       # 【现有 / 目标】生成类型与前端公共类型组合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└── utils/                       # 【现有 / 目标】格式化、错误展示和纯工具函数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tests/                            # 【现有 / 目标】Vitest 和 Playwright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└── .github/                          # 【目标】CI、PR 模板、CODEOWNERS 和构建检查</w:t>
      </w:r>
    </w:p>
    <w:p>
      <w:r>
        <w:br w:type="page"/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F75B5"/>
          <w:sz w:val="24"/>
        </w:rPr>
        <w:t>3.3 迁移期和禁止新建目录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路径</w:t>
            </w:r>
          </w:p>
        </w:tc>
        <w:tc>
          <w:tcPr>
            <w:tcW w:type="dxa" w:w="144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状态</w:t>
            </w:r>
          </w:p>
        </w:tc>
        <w:tc>
          <w:tcPr>
            <w:tcW w:type="dxa" w:w="4896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处理规则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src/app/modules/iam/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迁移期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仅保留 Casdoor/JWT 边界说明；不创建本地 iam_* 表、Repository、Service 或持久化权限投影。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src/app/modules/organizations/customer_managers/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迁移期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业务对象统一使用 employees；不新增 customer_managers 表、API 或页面。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src/modules/employees/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迁移期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员工能力归入前端 M2 组织与员工语义；可保留兼容说明，不单独占用模块编号。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modules/resources/、src/modules/resources/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禁止新建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V1.3 不创建 target_resources，不新增目标资源表、菜单、API 或业务流程。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modules/routing/、src/modules/routing/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禁止新建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V1.3 不创建 routing_rules，不新增路由发布、冲突或运行时规则流程。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4. 一级目录职责说明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目录</w:t>
            </w:r>
          </w:p>
        </w:tc>
        <w:tc>
          <w:tcPr>
            <w:tcW w:type="dxa" w:w="6912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职责边界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src/app/api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注册 /api/v1 路由、解析 HTTP 参数、认证依赖、统一响应和异常映射；不得直接写 SQL 或调用外部系统。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src/app/core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提供配置、安全、权限基础设施、请求 ID、日志、Trace、公共审计写入和 Snowflake；不承载具体业务状态规则。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src/app/db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提供 SQLAlchemy Base、Session、事务和数据库类型；数据库访问由业务模块 Repository 使用。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src/app/common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只保存真正跨模块的纯公共能力，如分页、时钟、幂等和公共类型。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src/app/modules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按 M1～M5 聚合业务规则、状态解释、权限和数据访问；每张银行表只有一个责任模块。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src/app/integrations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封装 Casdoor、LinkForty API/只读/Webhook 和 NFC 适配；外部调用不得散落在 Router。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src/app/workers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承载异步任务、重试、补偿、批量导入和对账；任务结果通过 Service、Trace ID 和 M1 审计追踪。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alembic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只演进银行侧 7 张表；每次结构变化使用独立 Revision，不直接修改 LinkForty 平台表。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database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只放 seeds、checks 和辅助说明，不放正式建表逻辑。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tests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按分层和风险覆盖 API、权限、数据范围、幂等、外部失败、迁移和端到端链路。</w:t>
            </w:r>
          </w:p>
        </w:tc>
      </w:tr>
    </w:tbl>
    <w:p>
      <w:pPr>
        <w:spacing w:after="0"/>
      </w:pP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F75B5"/>
          <w:sz w:val="24"/>
        </w:rPr>
        <w:t>4.1 前端目录边界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src/api 只调用银行后台 /api/v1；前端不能直连 PostgreSQL、Redis 或 LinkForty Core。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src/components、layouts、utils 不承载具体业务状态和权限规则；服务端返回的权限与数据范围才是最终依据。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每个页面必须处理 loading、empty、error 和 no permission 状态。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5. M1～M5 模块对应关系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模块</w:t>
            </w:r>
          </w:p>
        </w:tc>
        <w:tc>
          <w:tcPr>
            <w:tcW w:type="dxa" w:w="2736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后端落点</w:t>
            </w:r>
          </w:p>
        </w:tc>
        <w:tc>
          <w:tcPr>
            <w:tcW w:type="dxa" w:w="216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前端落点</w:t>
            </w:r>
          </w:p>
        </w:tc>
        <w:tc>
          <w:tcPr>
            <w:tcW w:type="dxa" w:w="216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数据所有权</w:t>
            </w:r>
          </w:p>
        </w:tc>
        <w:tc>
          <w:tcPr>
            <w:tcW w:type="dxa" w:w="1584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主要职责与依赖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M1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core/security.py、integrations/casdoor、modules/audit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modules/auth、modules/audit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operation_logs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后台访问上下文、员工定位、操作审计；依赖 Casdoor 和 M2 employees。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M2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modules/organizations/employees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modules/organizations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organization_units、employees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组织编码层级、员工主数据、直接组织归属和数据范围根节点。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M3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modules/touchpoints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modules/touchpoints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touchpoint_assets、touchpoint_payloads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NFC 资产、卡内实际内容和 LinkForty 逻辑引用；依赖 LinkForty API、NFC。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M4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modules/assignments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modules/assignments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touchpoint_employee_assignments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绑定、解绑、转交和历史区间；依赖 M2、M3。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M5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modules/events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modules/events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access_events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Webhook 事件幂等投影、资产/绑定/组织/员工关联和重试；依赖 LinkForty 事件或受限读取。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 Unicode MS" w:hAnsi="Arial Unicode MS" w:eastAsia="Arial Unicode MS" w:cs="Arial Unicode MS"/>
          <w:sz w:val="21"/>
        </w:rPr>
        <w:t>依赖链：M2 主数据 → M3 资产与内容 → M4 员工绑定 → M5 访问事件；M1 为所有管理操作、批量导入和外部调用提供横向审计上下文。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6. 模块内部结构与分层</w:t>
      </w:r>
    </w:p>
    <w:p>
      <w:pPr>
        <w:spacing w:after="100" w:line="269" w:lineRule="auto"/>
      </w:pPr>
      <w:r>
        <w:rPr>
          <w:rFonts w:ascii="Arial Unicode MS" w:hAnsi="Arial Unicode MS" w:eastAsia="Arial Unicode MS" w:cs="Arial Unicode MS"/>
          <w:sz w:val="21"/>
        </w:rPr>
        <w:t>业务模块按需创建固定职责文件，不批量创建空文件，也不建立全局业务型 services、repositories、models 或 schemas 目录。</w:t>
      </w:r>
    </w:p>
    <w:p>
      <w:pPr>
        <w:pStyle w:val="164"/>
        <w:spacing w:after="20" w:line="240" w:lineRule="auto"/>
        <w:ind w:left="259"/>
      </w:pPr>
      <w:r>
        <w:rPr>
          <w:rFonts w:ascii="DejaVu Sans Mono" w:hAnsi="DejaVu Sans Mono" w:eastAsia="DejaVu Sans Mono" w:cs="DejaVu Sans Mono"/>
          <w:color w:val="315B82"/>
          <w:sz w:val="16"/>
        </w:rPr>
        <w:t>modules/&lt;domain&gt;/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router.py        # HTTP 协议适配和响应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schemas.py       # Pydantic 请求、响应和输入校验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service.py       # 业务规则、事务、状态变化、审计和任务调度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repository.py    # SQLAlchemy 查询和持久化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models.py        # 本模块负责的银行表模型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permissions.py   # 功能权限和数据范围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enums.py         # 状态、类型和生命周期枚举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└── exceptions.py    # 模块异常和错误码映射</w:t>
      </w:r>
    </w:p>
    <w:p>
      <w:pPr>
        <w:pStyle w:val="164"/>
        <w:spacing w:after="20" w:line="240" w:lineRule="auto"/>
        <w:ind w:left="259"/>
      </w:pPr>
      <w:r>
        <w:rPr>
          <w:rFonts w:ascii="DejaVu Sans Mono" w:hAnsi="DejaVu Sans Mono" w:eastAsia="DejaVu Sans Mono" w:cs="DejaVu Sans Mono"/>
          <w:color w:val="315B82"/>
          <w:sz w:val="16"/>
        </w:rPr>
        <w:t>Router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→ Auth / Data Scope Dependencies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→ Service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→ Domain Rules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→ Repository / Integration Adapter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→ PostgreSQL / External API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Worker / Celery Task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→ Service / Integration Adapter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→ Retry / Compensation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→ operation_logs + trace_id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Service 负责组织编码、数据范围、绑定区间冲突、导入预校验、状态迁移和审计编排。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Repository 负责 SQLAlchemy 查询、持久化、索引和数据库约束配合，不决定最终业务权限和外部平台行为。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Integration Adapter 负责 Casdoor Claim、LinkForty API/Webhook/只读访问和 NFC 接口，需统一超时、重试、脱敏和异常。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7. 公共基础与横向能力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能力</w:t>
            </w:r>
          </w:p>
        </w:tc>
        <w:tc>
          <w:tcPr>
            <w:tcW w:type="dxa" w:w="3456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目录落点</w:t>
            </w:r>
          </w:p>
        </w:tc>
        <w:tc>
          <w:tcPr>
            <w:tcW w:type="dxa" w:w="432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模块编号规则与边界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身份与权限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core/security.py、core/permissions.py、integrations/casdoor/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Casdoor 权威；不创建本地 iam_* 表，不复制角色和功能权限。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操作审计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core/audit.py + modules/audit/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写入公共化，数据所有权归 M1；operation_logs 只追加。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批量导入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api 入口 + M3/M4 等责任模块 Service + workers/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横向应用能力，不占 M 编号；按责任模块预校验、更新/新增和审计。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统计与导出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modules/analytics/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无编号横向只读能力；只读 access_events 和授权的 LinkForty 事件数据，不拥有本地专属表。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异步任务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workers/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Celery 重试、补偿、批量导入和对账；不把 Redis 当作唯一事实来源。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幂等与追踪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common/idempotency.py、core/tracing.py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写接口使用 Idempotency-Key；Webhook 使用全局 event_id；外部调用保留 trace_id。</w:t>
            </w:r>
          </w:p>
        </w:tc>
      </w:tr>
    </w:tbl>
    <w:p>
      <w:pPr>
        <w:spacing w:after="0"/>
      </w:pP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统计使用 click_events.clicked_at、access_events.received_at、install_events.installed_at 和 in_app_events.event_timestamp；点击统计默认排除机器人。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本期不纳入银行办理量、办理金额和真实业务转化结果。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8. 外部系统集成目录</w:t>
      </w:r>
    </w:p>
    <w:p>
      <w:pPr>
        <w:pStyle w:val="164"/>
        <w:spacing w:after="20" w:line="240" w:lineRule="auto"/>
        <w:ind w:left="259"/>
      </w:pPr>
      <w:r>
        <w:rPr>
          <w:rFonts w:ascii="DejaVu Sans Mono" w:hAnsi="DejaVu Sans Mono" w:eastAsia="DejaVu Sans Mono" w:cs="DejaVu Sans Mono"/>
          <w:color w:val="315B82"/>
          <w:sz w:val="16"/>
        </w:rPr>
        <w:t>src/app/integrations/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casdoor/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└── # JWT 验证、employee_code Claim 和外部身份边界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linkforty/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client.py       # API-only 写调用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schemas.py      # 外部对象和标准化事件类型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webhook.py      # 验签后解析，不输出密钥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mapping.py      # 外部字段到银行边界字段映射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├── read_only.py    # 受限只读协议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│   └── exceptions.py   # 外部调用、验签和映射异常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└── nfc/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  ├── interface.py    # NFC 设备抽象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  └── mock.py         # 本地 Mock 和联调能力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集成</w:t>
            </w:r>
          </w:p>
        </w:tc>
        <w:tc>
          <w:tcPr>
            <w:tcW w:type="dxa" w:w="4752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银行侧职责</w:t>
            </w:r>
          </w:p>
        </w:tc>
        <w:tc>
          <w:tcPr>
            <w:tcW w:type="dxa" w:w="3312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禁止事项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Casdoor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验证 JWT 签名、issuer、audience 和过期时间；读取 employee_code 定位启用员工。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不创建本地角色权限投影，不保存密码、Token 或身份密钥。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LinkForty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M3 通过 API 执行必要外部调用；M5 通过 Webhook、受限读取或事件字段完成关联。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不复制 Core 源码，不直接执行外部表 DDL、DML、TRUNCATE 或迁移。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NFC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M3 依赖 interface 和 Mock 先行，后续再接入经确认的硬件 SDK。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本期不把真实硬件写卡能力描述为已实现。</w:t>
            </w:r>
          </w:p>
        </w:tc>
      </w:tr>
    </w:tbl>
    <w:p>
      <w:pPr>
        <w:spacing w:after="0"/>
      </w:pP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Webhook 接收入口属于 M5 events；验签和字段解析属于 integrations/linkforty/webhook.py；幂等和关联属于 M5 Service。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禁止读取、记录或输出 Webhook 密钥值。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9. 数据库与迁移边界</w:t>
      </w:r>
    </w:p>
    <w:p>
      <w:pPr>
        <w:spacing w:after="100" w:line="269" w:lineRule="auto"/>
      </w:pPr>
      <w:r>
        <w:rPr>
          <w:rFonts w:ascii="Arial Unicode MS" w:hAnsi="Arial Unicode MS" w:eastAsia="Arial Unicode MS" w:cs="Arial Unicode MS"/>
          <w:sz w:val="21"/>
        </w:rPr>
        <w:t>银行后台数据库使用 PostgreSQL 14+ 的 bank_admin Schema。V1.3.2 业务库只保留 7 张银行业务表，LinkForty 的 8 张外部表不进入银行侧 Alembic 迁移。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责任模块</w:t>
            </w:r>
          </w:p>
        </w:tc>
        <w:tc>
          <w:tcPr>
            <w:tcW w:type="dxa" w:w="7632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银行侧表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M1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operation_logs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M2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organization_units、employees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M3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touchpoint_assets、touchpoint_payloads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M4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touchpoint_employee_assignments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M5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access_events</w:t>
            </w:r>
          </w:p>
        </w:tc>
      </w:tr>
    </w:tbl>
    <w:p>
      <w:pPr>
        <w:spacing w:after="0"/>
      </w:pP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正式结构变化只能放在 alembic/versions/，每个数据库变化使用独立 Revision；database/ 只保存种子、检查和说明。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BIGINT 雪花 ID 通过 API 以字符串传输；UUID 保留 UUID 语义；时间统一使用带时区的 TIMESTAMPTZ。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event_id 全局唯一，click_id 仅为非唯一逻辑引用；access_events 不分区；历史绑定只追加。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不创建 iam_*、target_resources、routing_rules；touchpoint_payloads 不保存外部同步状态、同步时间、错误摘要或重试次数。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10. 接口规范与文档同步</w:t>
      </w:r>
    </w:p>
    <w:p>
      <w:pPr>
        <w:pStyle w:val="164"/>
        <w:spacing w:after="20" w:line="240" w:lineRule="auto"/>
        <w:ind w:left="259"/>
      </w:pPr>
      <w:r>
        <w:rPr>
          <w:rFonts w:ascii="DejaVu Sans Mono" w:hAnsi="DejaVu Sans Mono" w:eastAsia="DejaVu Sans Mono" w:cs="DejaVu Sans Mono"/>
          <w:color w:val="315B82"/>
          <w:sz w:val="16"/>
        </w:rPr>
        <w:t>docs/03-api/openapi.yaml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        ↓  版本化同步 / 生成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bank-touchpoint-backend API 实现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        ↓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bank-touchpoint-frontend 生成 TypeScript 类型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 xml:space="preserve">          ↓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模块 API 封装、接口测试和跨仓库联调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规范项</w:t>
            </w:r>
          </w:p>
        </w:tc>
        <w:tc>
          <w:tcPr>
            <w:tcW w:type="dxa" w:w="720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统一约定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路径与字段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接口路径使用 /api/v1；JSON 使用 camelCase；数据库字段使用 snake_case。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标识与时间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BIGINT API 返回字符串；UUID 保留 UUID；时间使用带时区 ISO 8601。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幂等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写接口使用 Idempotency-Key；Webhook 使用 event_id；外部写调用使用稳定幂等标识。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响应与错误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统一 requestId、错误码和错误结构；前端不自定义后端业务状态。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权限与范围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前端菜单和按钮只用于展示；后端强制校验 Casdoor 功能权限与组织/员工数据范围。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 Unicode MS" w:hAnsi="Arial Unicode MS" w:eastAsia="Arial Unicode MS" w:cs="Arial Unicode MS"/>
          <w:sz w:val="21"/>
        </w:rPr>
        <w:t>OpenAPI 主文件继续由 docs 仓库维护。本轮只更新目录说明，不改写 openapi.yaml，也不生成 Markdown 转换文件。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11. 根目录文件与当前实现状态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仓库/目录</w:t>
            </w:r>
          </w:p>
        </w:tc>
        <w:tc>
          <w:tcPr>
            <w:tcW w:type="dxa" w:w="432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当前可见事实</w:t>
            </w:r>
          </w:p>
        </w:tc>
        <w:tc>
          <w:tcPr>
            <w:tcW w:type="dxa" w:w="2592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目录说明中的表述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bank-touchpoint-backend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已有 FastAPI 工程骨架、健康检查、core/db/common、LinkForty/NFC 边界、Celery 基础和 Alembic 迁移。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标记为现有工程基线；M1～M5 业务闭环仍按需建设。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bank-touchpoint-frontend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已有 React 壳层、路由、组件、API 类型和 home 页面占位。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标记为现有管理后台骨架；业务页面不描述为已完成。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docs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拥有产品、架构、API、数据库、安全、测试、部署和运维基线。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作为正式规范权威来源；代码仓库不复制完整资料。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linkforty/core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独立 TypeScript/Fastify 外部系统参考项目。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只说明 API/只读/Webhook 边界，不复制源码或直接操作平台表。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card-switch-demo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演示页面工程。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只作为演示或实验目录，不作为完整银行后台实现。</w:t>
            </w:r>
          </w:p>
        </w:tc>
      </w:tr>
    </w:tbl>
    <w:p>
      <w:pPr>
        <w:spacing w:after="0"/>
      </w:pP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F75B5"/>
          <w:sz w:val="24"/>
        </w:rPr>
        <w:t>11.1 根目录最低约定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两个业务仓库各自维护 AGENTS.md、README.md、环境示例、依赖锁定、测试配置和 .github CI；不共享一套业务代码目录。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环境变量不得提交真实密码、Token、Webhook Secret、数据库密码或生产配置；.env 必须被 .gitignore 忽略。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README 必须说明启动、测试、迁移、类型生成和联调命令；文件存在只代表工程约定，不代表功能完成。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12. Git 协作与双人工作包</w:t>
      </w:r>
    </w:p>
    <w:p>
      <w:pPr>
        <w:pStyle w:val="164"/>
        <w:spacing w:after="20" w:line="240" w:lineRule="auto"/>
        <w:ind w:left="259"/>
      </w:pPr>
      <w:r>
        <w:rPr>
          <w:rFonts w:ascii="DejaVu Sans Mono" w:hAnsi="DejaVu Sans Mono" w:eastAsia="DejaVu Sans Mono" w:cs="DejaVu Sans Mono"/>
          <w:color w:val="315B82"/>
          <w:sz w:val="16"/>
        </w:rPr>
        <w:t>main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feature/M1-access-audit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feature/M2-organizations-employees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feature/M3-touchpoints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├── feature/M4-assignments</w:t>
      </w:r>
      <w:r>
        <w:br/>
      </w:r>
      <w:r>
        <w:rPr>
          <w:rFonts w:ascii="DejaVu Sans Mono" w:hAnsi="DejaVu Sans Mono" w:eastAsia="DejaVu Sans Mono" w:cs="DejaVu Sans Mono"/>
          <w:color w:val="315B82"/>
          <w:sz w:val="16"/>
        </w:rPr>
        <w:t>└── feature/M5-access-events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工作包</w:t>
            </w:r>
          </w:p>
        </w:tc>
        <w:tc>
          <w:tcPr>
            <w:tcW w:type="dxa" w:w="1872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负责模块</w:t>
            </w:r>
          </w:p>
        </w:tc>
        <w:tc>
          <w:tcPr>
            <w:tcW w:type="dxa" w:w="360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主要数据表</w:t>
            </w:r>
          </w:p>
        </w:tc>
        <w:tc>
          <w:tcPr>
            <w:tcW w:type="dxa" w:w="3024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交接内容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A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M1、M2、M4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operation_logs、organization_units、employees、touchpoint_employee_assignments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访问上下文、审计、组织员工主数据和绑定生命周期；向 B 提供员工/组织校验与审计上下文。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B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M3、M5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touchpoint_assets、touchpoint_payloads、access_events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NFC 资产内容、LinkForty 集成和访问事件；向 A 提供资产状态、逻辑引用和事件反馈。</w:t>
            </w:r>
          </w:p>
        </w:tc>
      </w:tr>
    </w:tbl>
    <w:p>
      <w:pPr>
        <w:spacing w:after="0"/>
      </w:pP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main 禁止直接提交；每个 PR 聚焦一个业务模块或一个公共变更；API、迁移、权限、幂等和公共代码必须双人审核。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两个业务仓库分别进行版本和发布管理，不额外维护长期 develop 分支。</w:t>
      </w: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13. 建设顺序与开发前完成标准</w:t>
      </w:r>
    </w:p>
    <w:tbl>
      <w:tblPr>
        <w:tblStyle w:val="33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阶段</w:t>
            </w:r>
          </w:p>
        </w:tc>
        <w:tc>
          <w:tcPr>
            <w:tcW w:type="dxa" w:w="2736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工作包 A</w:t>
            </w:r>
          </w:p>
        </w:tc>
        <w:tc>
          <w:tcPr>
            <w:tcW w:type="dxa" w:w="2736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工作包 B</w:t>
            </w:r>
          </w:p>
        </w:tc>
        <w:tc>
          <w:tcPr>
            <w:tcW w:type="dxa" w:w="2448"/>
            <w:shd w:fill="D9E5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1F1F1F"/>
                <w:sz w:val="17"/>
              </w:rPr>
              <w:t>共同验收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第一阶段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M1 审计基础、M2 主数据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M3 资产与载体内容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身份、数据范围、资产和审计字段契约。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第二阶段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M4 绑定生命周期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M5 事件幂等与关联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资产—绑定—事件关联链路。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第三阶段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补齐范围、权限和审计检查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补齐外部失败、重试和补偿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F1F1F"/>
                <w:sz w:val="17"/>
              </w:rPr>
              <w:t>跨模块权限、幂等、补偿和文档验收。</w:t>
            </w:r>
          </w:p>
        </w:tc>
      </w:tr>
    </w:tbl>
    <w:p>
      <w:pPr>
        <w:spacing w:after="0"/>
      </w:pP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FastAPI、React、PostgreSQL、Redis、Celery、Alembic 和 CI 均可启动并通过基础检查。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Casdoor JWT、employee_code Claim、LinkForty API、Webhook 签名和 NFC Mock 均有已确认的联调方案。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7 张银行业务表可在空数据库完成迁移，权限、数据范围、事件幂等、外部失败补偿和审计测试已准备。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M1～M5 目录职责、API 第一批契约、OpenAPI 同步方式和两个工作包的交接字段已确认。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任何“已实现”结论必须提供代码路径、类/函数、接口、迁移或测试证据；目录存在不作为实现证据。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F75B5"/>
          <w:sz w:val="32"/>
        </w:rPr>
        <w:t>14. 目录建设结论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继续使用两个独立业务仓库承载银行后台和管理后台，不新增单体平台代码仓库。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后端采用 src/app + 业务模块化单体；前端采用 React 模块化页面结构；M1～M5 是唯一有效业务模块编号。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docs 继续作为正式需求、架构、API、数据库、安全和测试基线；本轮只新增本 Word V2.0 说明，不修改 Markdown。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LinkForty Core 保持独立，card-switch-demo 仅作为演示；银行后台通过 Integration Adapter 和受限只读边界交互。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analytics、批量导入、Worker、NFC Adapter 和操作审计是横向或外部能力，不提前占用新的业务模块编号。</w:t>
      </w:r>
    </w:p>
    <w:p>
      <w:pPr>
        <w:pStyle w:val="16"/>
        <w:spacing w:after="60" w:line="259" w:lineRule="auto"/>
      </w:pPr>
      <w:r>
        <w:rPr>
          <w:rFonts w:ascii="Arial Unicode MS" w:hAnsi="Arial Unicode MS" w:eastAsia="Arial Unicode MS" w:cs="Arial Unicode MS"/>
          <w:sz w:val="20"/>
        </w:rPr>
        <w:t>后续目录变化必须同步更新本说明，并明确涉及的业务边界、数据所有权、权限、API、迁移和测试影响。</w:t>
      </w:r>
    </w:p>
    <w:sectPr>
      <w:headerReference r:id="rId5" w:type="default"/>
      <w:footerReference r:id="rId6" w:type="default"/>
      <w:pgSz w:w="12240" w:h="15840"/>
      <w:pgMar w:top="1181" w:right="1440" w:bottom="108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0A77A">
    <w:pPr>
      <w:pStyle w:val="24"/>
      <w:jc w:val="center"/>
    </w:pPr>
    <w:r>
      <w:rPr>
        <w:rFonts w:ascii="Calibri" w:hAnsi="Calibri" w:eastAsia="Hiragino Sans GB"/>
        <w:color w:val="5F6368"/>
        <w:sz w:val="18"/>
      </w:rPr>
      <w:t xml:space="preserve">V2.0  ·  第 </w:t>
    </w:r>
    <w:r>
      <w:rPr>
        <w:rFonts w:ascii="Calibri" w:hAnsi="Calibri" w:eastAsia="Hiragino Sans GB"/>
        <w:color w:val="5F6368"/>
        <w:sz w:val="18"/>
      </w:rPr>
      <w:fldChar w:fldCharType="begin"/>
    </w:r>
    <w:r>
      <w:rPr>
        <w:rFonts w:ascii="Calibri" w:hAnsi="Calibri" w:eastAsia="Hiragino Sans GB"/>
        <w:color w:val="5F6368"/>
        <w:sz w:val="18"/>
      </w:rPr>
      <w:instrText xml:space="preserve"> PAGE </w:instrText>
    </w:r>
    <w:r>
      <w:rPr>
        <w:rFonts w:ascii="Calibri" w:hAnsi="Calibri" w:eastAsia="Hiragino Sans GB"/>
        <w:color w:val="5F6368"/>
        <w:sz w:val="18"/>
      </w:rPr>
      <w:fldChar w:fldCharType="end"/>
    </w:r>
    <w:r>
      <w:rPr>
        <w:rFonts w:ascii="Calibri" w:hAnsi="Calibri" w:eastAsia="Hiragino Sans GB"/>
        <w:color w:val="5F636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EFACA">
    <w:pPr>
      <w:pStyle w:val="25"/>
      <w:jc w:val="right"/>
    </w:pPr>
    <w:r>
      <w:rPr>
        <w:rFonts w:ascii="Calibri" w:hAnsi="Calibri" w:eastAsia="Hiragino Sans GB"/>
        <w:color w:val="5F6368"/>
        <w:sz w:val="17"/>
      </w:rPr>
      <w:t>bank-touchpoint-platform  ·  项目目录建设与说明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6DEE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 Unicode MS" w:hAnsi="Arial Unicode MS" w:eastAsia="Arial Unicode MS" w:cstheme="minorBidi" w:cs="Arial Unicode MS"/>
      <w:color w:val="1F29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52" w:lineRule="auto"/>
      <w:outlineLvl w:val="0"/>
    </w:pPr>
    <w:rPr>
      <w:rFonts w:asciiTheme="majorHAnsi" w:hAnsiTheme="majorHAnsi" w:eastAsiaTheme="majorEastAsia" w:cstheme="majorBidi" w:ascii="Arial Unicode MS" w:hAnsi="Arial Unicode MS" w:eastAsia="Arial Unicode MS" w:cs="Arial Unicode MS"/>
      <w:b/>
      <w:bCs/>
      <w:color w:val="2F75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52" w:lineRule="auto"/>
      <w:outlineLvl w:val="1"/>
    </w:pPr>
    <w:rPr>
      <w:rFonts w:asciiTheme="majorHAnsi" w:hAnsiTheme="majorHAnsi" w:eastAsiaTheme="majorEastAsia" w:cstheme="majorBidi" w:ascii="Arial Unicode MS" w:hAnsi="Arial Unicode MS" w:eastAsia="Arial Unicode MS" w:cs="Arial Unicode MS"/>
      <w:b/>
      <w:bCs/>
      <w:color w:val="2F75B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52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480"/>
    </w:pPr>
    <w:rPr>
      <w:rFonts w:asciiTheme="majorHAnsi" w:hAnsiTheme="majorHAnsi" w:eastAsiaTheme="majorEastAsia" w:cstheme="majorBidi" w:ascii="Arial Unicode MS" w:hAnsi="Arial Unicode MS" w:eastAsia="Arial Unicode MS" w:cs="Arial Unicode MS"/>
      <w:i/>
      <w:iCs/>
      <w:color w:val="666666"/>
      <w:spacing w:val="15"/>
      <w:sz w:val="3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200" w:after="160" w:line="240" w:lineRule="auto"/>
      <w:contextualSpacing/>
    </w:pPr>
    <w:rPr>
      <w:rFonts w:asciiTheme="majorHAnsi" w:hAnsiTheme="majorHAnsi" w:eastAsiaTheme="majorEastAsia" w:cstheme="majorBidi" w:ascii="Arial Unicode MS" w:hAnsi="Arial Unicode MS" w:eastAsia="Arial Unicode MS" w:cs="Arial Unicode MS"/>
      <w:b/>
      <w:color w:val="1F2D3D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keepNext/>
      <w:spacing w:before="360" w:after="200"/>
      <w:outlineLvl w:val="9"/>
    </w:pPr>
    <w:rPr>
      <w:rFonts w:ascii="Calibri" w:hAnsi="Calibri" w:eastAsia="Hiragino Sans GB"/>
      <w:color w:val="2E74B5"/>
      <w:sz w:val="32"/>
    </w:rPr>
  </w:style>
  <w:style w:type="paragraph" w:customStyle="1" w:styleId="164">
    <w:name w:val="CodeBlock"/>
    <w:uiPriority w:val="0"/>
    <w:pPr>
      <w:keepLines/>
      <w:spacing w:after="40" w:line="252" w:lineRule="auto"/>
      <w:ind w:left="259"/>
    </w:pPr>
    <w:rPr>
      <w:rFonts w:ascii="DejaVu Sans Mono" w:hAnsi="DejaVu Sans Mono" w:eastAsia="DejaVu Sans Mono" w:cstheme="minorBidi" w:cs="DejaVu Sans Mono"/>
      <w:color w:val="315B82"/>
      <w:sz w:val="16"/>
      <w:szCs w:val="22"/>
      <w:lang w:val="en-US" w:eastAsia="en-US" w:bidi="ar-SA"/>
    </w:rPr>
  </w:style>
  <w:style w:type="paragraph" w:customStyle="1" w:styleId="165">
    <w:name w:val="Small Note"/>
    <w:uiPriority w:val="0"/>
    <w:pPr>
      <w:spacing w:after="160" w:line="276" w:lineRule="auto"/>
    </w:pPr>
    <w:rPr>
      <w:rFonts w:ascii="Arial Unicode MS" w:hAnsi="Arial Unicode MS" w:eastAsia="Arial Unicode MS" w:cstheme="minorBidi" w:cs="Arial Unicode MS"/>
      <w:color w:val="5F6368"/>
      <w:sz w:val="20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Codex</dc:creator>
  <dc:description>本轮只新增 V2.0 Word 文档，未修改 Markdown、代码或 V1.0 文档。</dc:description>
  <cp:keywords>bank-touchpoint-platform, NFC, 目录, 架构, 协作</cp:keywords>
  <cp:lastModifiedBy>诗酒趁年华</cp:lastModifiedBy>
  <dcterms:modified xsi:type="dcterms:W3CDTF">2026-08-17T16:53:58Z</dcterms:modified>
  <dc:subject>基于 V1.3.2 物理模型和 V3.1 模块方案的工程目录设计</dc:subject>
  <dc:title>银行触点载体管理系统项目目录建设与说明 V2.0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1F8D5B9C8B6DD04826CC826AE4EDA68C_42</vt:lpwstr>
  </property>
</Properties>
</file>