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80" w:after="100"/>
      </w:pPr>
      <w:r>
        <w:rPr>
          <w:rFonts w:ascii="Arial Unicode MS" w:hAnsi="Arial Unicode MS" w:eastAsia="Arial Unicode MS" w:cs="Arial Unicode MS"/>
          <w:b/>
          <w:color w:val="667085"/>
          <w:sz w:val="26"/>
        </w:rPr>
        <w:t>银行触点载体管理系统</w:t>
      </w:r>
    </w:p>
    <w:p>
      <w:pPr>
        <w:spacing w:after="140"/>
      </w:pPr>
      <w:r>
        <w:rPr>
          <w:rFonts w:ascii="Arial Unicode MS" w:hAnsi="Arial Unicode MS" w:eastAsia="Arial Unicode MS" w:cs="Arial Unicode MS"/>
          <w:b/>
          <w:color w:val="1F4D78"/>
          <w:sz w:val="50"/>
        </w:rPr>
        <w:t>MVP 功能模块划分分析方案</w:t>
      </w:r>
    </w:p>
    <w:p>
      <w:pPr>
        <w:spacing w:after="440"/>
      </w:pPr>
      <w:r>
        <w:rPr>
          <w:rFonts w:ascii="Arial Unicode MS" w:hAnsi="Arial Unicode MS" w:eastAsia="Arial Unicode MS" w:cs="Arial Unicode MS"/>
          <w:color w:val="2E74B5"/>
          <w:sz w:val="28"/>
        </w:rPr>
        <w:t>V3.0 · 基于 V1.3 物理模型重新编号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文档版本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V3.0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编制日期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2026 年 08 月 18 日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唯一业务基线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银行触点载体管理系统_数据物理模型_V1.3.docx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版式与迁移参考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MVP 功能模块划分分析方案 V2.2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有效模块编号</w:t>
            </w:r>
          </w:p>
        </w:tc>
        <w:tc>
          <w:tcPr>
            <w:tcW w:type="dxa" w:w="7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M1～M5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适用对象</w:t>
            </w:r>
          </w:p>
        </w:tc>
        <w:tc>
          <w:tcPr>
            <w:tcW w:type="dxa" w:w="7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两人研发团队及产品、架构、测试和验收人员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使用边界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本文只定义 V1.3 的模块、数据所有权、外部边界和两人研发工作包；不声明具体 API、页面、代码目录或工程完成情况。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文档目的与版本信息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本文在 V2.2 的章节和视觉结构基础上，严格依据 V1.3 数据物理模型重新确定有效业务模块、连续编号、数据所有权、外部系统边界和两人研发工作包。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V3.0 的有效业务模块为 M1～M5。旧编号仅用于迁移追溯，不得继续用于新需求、研发任务或验收项。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版本事项</w:t>
            </w:r>
          </w:p>
        </w:tc>
        <w:tc>
          <w:tcPr>
            <w:tcW w:type="dxa" w:w="7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V3.0 结论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业务内容来源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仅使用 V1.3 数据物理模型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版式来源</w:t>
            </w:r>
          </w:p>
        </w:tc>
        <w:tc>
          <w:tcPr>
            <w:tcW w:type="dxa" w:w="7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V2.2 的 Letter 页面、蓝色标题层级、表格和页脚体系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编号结果</w:t>
            </w:r>
          </w:p>
        </w:tc>
        <w:tc>
          <w:tcPr>
            <w:tcW w:type="dxa" w:w="7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五个有效业务模块，连续编号为 M1～M5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人员组织</w:t>
            </w:r>
          </w:p>
        </w:tc>
        <w:tc>
          <w:tcPr>
            <w:tcW w:type="dxa" w:w="7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五个业务模块映射为两个研发工作包，不改变模块数据所有权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编制基线与使用约束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 数据物理模型是本文件唯一业务事实来源；表、字段、状态、外部边界和实施分层均从该模型提取。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V2.2 只提供版式、章节组织和旧编号迁移信息；其中与 V1.3 冲突的业务内容不得沿用。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本文不引用其他项目文档、接口草案、权限矩阵、代码目录、迁移实现或测试状态。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 未明确的内容标记为待确认，不通过模块文档补造字段、接口或验收承诺。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判定原则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当旧版模块叙述与 V1.3 物理模型不一致时，以 V1.3 为准；当 V1.3 内部存在不一致时，只记录问题，不自行修正模型。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V1.3 系统范围和边界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V1.3 的正式范围为 7 张银行业务表、8 张 LinkForty 外部现有表，以及 Casdoor 外部身份边界。银行库只维护银行业务主数据和审计投影。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边界对象</w:t>
            </w:r>
          </w:p>
        </w:tc>
        <w:tc>
          <w:tcPr>
            <w:tcW w:type="dxa" w:w="3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 定位</w:t>
            </w:r>
          </w:p>
        </w:tc>
        <w:tc>
          <w:tcPr>
            <w:tcW w:type="dxa" w:w="4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银行后台约束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银行业务数据库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7 张本地业务表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由银行后台负责数据所有权和演进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Casdoor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身份、角色与功能权限权威</w:t>
            </w:r>
          </w:p>
        </w:tc>
        <w:tc>
          <w:tcPr>
            <w:tcW w:type="dxa" w:w="4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验证 JWT 并读取 employee_code，不建立本地权限投影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LinkForty</w:t>
            </w:r>
          </w:p>
        </w:tc>
        <w:tc>
          <w:tcPr>
            <w:tcW w:type="dxa" w:w="3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链接、点击和 Webhook 等底层能力</w:t>
            </w:r>
          </w:p>
        </w:tc>
        <w:tc>
          <w:tcPr>
            <w:tcW w:type="dxa" w:w="44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写入走 API；读取受限；不直接迁移或修改外部表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NFC</w:t>
            </w:r>
          </w:p>
        </w:tc>
        <w:tc>
          <w:tcPr>
            <w:tcW w:type="dxa" w:w="3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一期触点载体类型</w:t>
            </w:r>
          </w:p>
        </w:tc>
        <w:tc>
          <w:tcPr>
            <w:tcW w:type="dxa" w:w="44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资产类型固定为 NFC，写入和核验通过适配能力完成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A97800"/>
                <w:sz w:val="20"/>
              </w:rPr>
              <w:t xml:space="preserve">外部表保护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银行系统不得对 LinkForty 物理表执行 DDL、DML、TRUNCATE 或迁移，也不得读取、记录或输出 Webhook 密钥值。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模块划分原则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以数据所有权为第一原则：每张银行业务表只有一个负责写入和状态解释的模块。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模块按业务内聚性划分，不按照开发人员数量机械拆分；两人协作通过研发工作包解决。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外部系统、设备适配、批量导入、幂等、审计和异步任务属于外部或横向能力，不单独占用 M 编号。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跨模块读取不得改变数据所有权；跨模块写入必须通过责任模块的业务规则执行。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银行业务表不依赖数据库级级联删除，关系完整性由 Service 和 Repository 的事务校验保证。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物理模型与数据归属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银行侧 7 张业务表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150"/>
        <w:gridCol w:w="1100"/>
        <w:gridCol w:w="4410"/>
      </w:tblGrid>
      <w:tr>
        <w:trPr>
          <w:cantSplit/>
          <w:tblHeader w:val="true"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序号</w:t>
            </w:r>
          </w:p>
        </w:tc>
        <w:tc>
          <w:tcPr>
            <w:tcW w:type="dxa" w:w="31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物理表</w:t>
            </w:r>
          </w:p>
        </w:tc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新归属</w:t>
            </w:r>
          </w:p>
        </w:tc>
        <w:tc>
          <w:tcPr>
            <w:tcW w:type="dxa" w:w="44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数据职责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operation_logs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员工和系统操作审计，只追加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organization_units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M2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组织编码层级和数据范围根节点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employees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M2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员工编码、员工名称和直接所属组织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touchpoint_assets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NFC 载体业务编码、物理 UID 和当前责任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touchpoint_payloads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卡内实际写入内容及外部同步职责</w:t>
            </w:r>
          </w:p>
        </w:tc>
      </w:tr>
      <w:tr>
        <w:trPr>
          <w:cantSplit/>
        </w:trP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6</w:t>
            </w:r>
          </w:p>
        </w:tc>
        <w:tc>
          <w:tcPr>
            <w:tcW w:type="dxa" w:w="31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touchpoint_employee_assignments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M4</w:t>
            </w:r>
          </w:p>
        </w:tc>
        <w:tc>
          <w:tcPr>
            <w:tcW w:type="dxa" w:w="44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载体与员工的当前及历史绑定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7</w:t>
            </w:r>
          </w:p>
        </w:tc>
        <w:tc>
          <w:tcPr>
            <w:tcW w:type="dxa" w:w="31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access_events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M5</w:t>
            </w:r>
          </w:p>
        </w:tc>
        <w:tc>
          <w:tcPr>
            <w:tcW w:type="dxa" w:w="4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访问事件幂等投影及资产、组织、员工关联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LinkForty 外部 8 张现有表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000"/>
        <w:gridCol w:w="3660"/>
      </w:tblGrid>
      <w:tr>
        <w:trPr>
          <w:cantSplit/>
          <w:tblHeader w:val="true"/>
        </w:trPr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外部表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外部职责</w:t>
            </w:r>
          </w:p>
        </w:tc>
        <w:tc>
          <w:tcPr>
            <w:tcW w:type="dxa" w:w="3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银行侧边界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link_templates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链接模板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外部拥有；银行侧不迁移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链接主数据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通过 linkforty_link_id 逻辑引用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click_events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点击事实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通过受限读取或事件关联使用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device_fingerprints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设备指纹事实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install_events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安装事件事实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in_app_events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App 内事件事实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仅属于 LinkForty 外部模型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webhooks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 配置</w:t>
            </w:r>
          </w:p>
        </w:tc>
        <w:tc>
          <w:tcPr>
            <w:tcW w:type="dxa" w:w="3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密钥值不得进入银行日志或文档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webhook_deliveries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Webhook 投递记录</w:t>
            </w:r>
          </w:p>
        </w:tc>
        <w:tc>
          <w:tcPr>
            <w:tcW w:type="dxa" w:w="3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外部拥有；银行侧不写入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新版模块总览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50"/>
        <w:gridCol w:w="2400"/>
        <w:gridCol w:w="2700"/>
        <w:gridCol w:w="1360"/>
      </w:tblGrid>
      <w:tr>
        <w:trPr>
          <w:cantSplit/>
          <w:tblHeader w:val="true"/>
        </w:trPr>
        <w:tc>
          <w:tcPr>
            <w:tcW w:type="dxa" w:w="6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22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模块名称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唯一数据所有权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核心职责</w:t>
            </w:r>
          </w:p>
        </w:tc>
        <w:tc>
          <w:tcPr>
            <w:tcW w:type="dxa" w:w="1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主要外部依赖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后台访问与操作审计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operation_logs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认证上下文协作与操作审计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</w:t>
            </w:r>
          </w:p>
        </w:tc>
      </w:tr>
      <w:tr>
        <w:trPr>
          <w:cantSplit/>
        </w:trPr>
        <w:tc>
          <w:tcPr>
            <w:tcW w:type="dxa" w:w="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</w:t>
            </w:r>
          </w:p>
        </w:tc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组织与员工管理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organization_units</w:t>
              <w:br/>
              <w:t>employees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组织层级、员工主数据和数据范围</w:t>
            </w:r>
          </w:p>
        </w:tc>
        <w:tc>
          <w:tcPr>
            <w:tcW w:type="dxa" w:w="1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 Claim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触点资产与载体内容管理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touchpoint_assets</w:t>
              <w:br/>
              <w:t>touchpoint_payloads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资产、卡内内容和外部同步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API、NFC</w:t>
            </w:r>
          </w:p>
        </w:tc>
      </w:tr>
      <w:tr>
        <w:trPr>
          <w:cantSplit/>
        </w:trPr>
        <w:tc>
          <w:tcPr>
            <w:tcW w:type="dxa" w:w="6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</w:t>
            </w:r>
          </w:p>
        </w:tc>
        <w:tc>
          <w:tcPr>
            <w:tcW w:type="dxa" w:w="22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触点载体员工绑定管理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touchpoint_employee_assignments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当前及历史绑定、解绑和责任关系</w:t>
            </w:r>
          </w:p>
        </w:tc>
        <w:tc>
          <w:tcPr>
            <w:tcW w:type="dxa" w:w="1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M2、M3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</w:t>
            </w:r>
          </w:p>
        </w:tc>
        <w:tc>
          <w:tcPr>
            <w:tcW w:type="dxa" w:w="2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访问事件接入与关联管理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access_events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事件幂等投影、关联和重试状态</w:t>
            </w:r>
          </w:p>
        </w:tc>
        <w:tc>
          <w:tcPr>
            <w:tcW w:type="dxa" w:w="1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事件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主要依赖链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M2 主数据  →  M3 资产与内容  →  M4 员工绑定  →  M5 访问事件；M1 为各管理操作提供横向审计。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编号规则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自 V3.0 起，新需求、研发任务和验收项统一使用 M1～M5。任何外部系统或横向能力均不得提前占用新的业务模块编号。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M1～M5 模块职责与边界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M1 后台访问与操作审计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形成可信的后台访问上下文，并为员工操作和系统任务提供统一审计记录。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只拥有 operation_logs；该表只追加，不由其他模块直接修改。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Casdoor JWT、trace_id、员工和组织上下文、操作类型、对象标识、执行结果及必要的前后值。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有效的员工访问上下文，以及可按 trace_id、操作员工、对象和时间追踪的审计记录。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校验 JWT 签名、issuer、audience 和过期时间；使用 employee_code 定位启用员工；记录登录、管理、绑定、导入、导出和外部同步等操作。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不负责事项：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不保存本地身份权限投影，不保存密码、Token、密钥或其他敏感凭证，不决定其他业务对象状态。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Casdoor 身份声明以及 M2 的 employees；系统任务允许 employee_id 为空，但必须保留 trace_id。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员工不存在或停用时拒绝访问；关键操作审计完整；失败和部分成功可追踪；敏感凭证不进入日志。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7.2 M2 组织与员工管理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维护组织编码层级、员工主数据和员工直接所属组织，为所有模块提供数据责任范围基线。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organization_units 和 employees。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组织编码与名称、状态、区位信息、联系人信息，以及员工编码、姓名、直接所属 org_id 和状态。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可按 org_code 前缀查询的组织层级、员工主数据、员工直接所属组织和数据范围根节点。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校验 org_code 格式、前缀关系和全局唯一性；维护员工编码唯一性和启停状态；通过 employee_code 对接 Casdoor Claim。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组织层级只由 org_code 前缀表达，不另设父组织字段或组织层级字段；员工只保存一个直接所属 org_id。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字段归属：</w:t>
      </w:r>
      <w:r>
        <w:rPr>
          <w:rFonts w:ascii="Arial Unicode MS" w:hAnsi="Arial Unicode MS" w:eastAsia="Arial Unicode MS" w:cs="Arial Unicode MS"/>
          <w:color w:val="1F2933"/>
          <w:sz w:val="20"/>
        </w:rPr>
        <w:t>location_code 和 door_no 属于组织信息，不属于触点资产投放位置。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根组织和下级编码规则、组织和员工唯一性、员工启停、直接组织归属、手机号密文与脱敏值、后端范围校验。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7.3 M3 NFC 触点资产与载体内容管理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管理 NFC 触点资产、卡内实际写入内容、当前责任范围和 LinkForty 外部逻辑引用。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touchpoint_assets 和 touchpoint_payloads。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asset_code、asset_type、carrier_uid、责任 org_id/employee_id、资产状态，以及 Payload 类型、值、来源、提供方和外部链接标识。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可查询和导入的资产主数据、卡内实际内容、当前责任组织和员工，以及必要的外部同步结果。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保证 asset_code 全局唯一和非空 carrier_uid 唯一；一期 asset_type 固定为 NFC；维护资产状态和载体内容状态。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Payload 表示卡内实际写入内容，不代表最终跳转目标；linkforty_link_id 只是 LinkForty 链接逻辑引用；不直接修改外部平台表。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M2 的责任组织和员工；通过 LinkForty API 与 NFC 适配能力完成外部登记、写入或核验。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资产编码、物理 UID、NFC 限定、资产和内容状态、责任范围同步、逻辑引用和外部失败可追踪。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7.4 M4 触点载体员工绑定管理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以追加历史方式维护触点载体与员工的当前及历史绑定关系。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touchpoint_employee_assignments。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asset_id、org_id、employee_id、生效时间，以及解绑原因码和解绑说明。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当前有效或已解绑的绑定记录、有效时间区间和解绑原因。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保证同一资产的有效绑定时间区间不重叠；绑定记录只追加，不覆盖历史；解绑时保留失效时间和原因。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不保存组织、支行或员工名称快照；历史查询展示当前主数据名称，不保证还原绑定发生时的名称。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M2 的组织和员工状态、M3 的资产及其当前责任信息。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有效区间冲突、当前绑定识别、解绑闭环、历史记录保留、跨组织约束和责任信息一致性。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7.5 M5 访问事件接入与关联管理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定位：</w:t>
      </w:r>
      <w:r>
        <w:rPr>
          <w:rFonts w:ascii="Arial Unicode MS" w:hAnsi="Arial Unicode MS" w:eastAsia="Arial Unicode MS" w:cs="Arial Unicode MS"/>
          <w:color w:val="1F2933"/>
          <w:sz w:val="20"/>
        </w:rPr>
        <w:t>接收 LinkForty 事件并形成银行侧幂等投影，关联触点资产、事件时命中的绑定、组织和员工。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数据所有权：</w:t>
      </w:r>
      <w:r>
        <w:rPr>
          <w:rFonts w:ascii="Arial Unicode MS" w:hAnsi="Arial Unicode MS" w:eastAsia="Arial Unicode MS" w:cs="Arial Unicode MS"/>
          <w:color w:val="1F2933"/>
          <w:sz w:val="20"/>
        </w:rPr>
        <w:t>拥有 access_events。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输入：</w:t>
      </w:r>
      <w:r>
        <w:rPr>
          <w:rFonts w:ascii="Arial Unicode MS" w:hAnsi="Arial Unicode MS" w:eastAsia="Arial Unicode MS" w:cs="Arial Unicode MS"/>
          <w:color w:val="1F2933"/>
          <w:sz w:val="20"/>
        </w:rPr>
        <w:t>event_id、click_id、事件元数据及 LinkForty 逻辑关联信息。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输出：</w:t>
      </w:r>
      <w:r>
        <w:rPr>
          <w:rFonts w:ascii="Arial Unicode MS" w:hAnsi="Arial Unicode MS" w:eastAsia="Arial Unicode MS" w:cs="Arial Unicode MS"/>
          <w:color w:val="1F2933"/>
          <w:sz w:val="20"/>
        </w:rPr>
        <w:t>访问事件记录、asset_id、binding_id、org_id、employee_id、关联状态、原因和完成时间。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负责事项：</w:t>
      </w:r>
      <w:r>
        <w:rPr>
          <w:rFonts w:ascii="Arial Unicode MS" w:hAnsi="Arial Unicode MS" w:eastAsia="Arial Unicode MS" w:cs="Arial Unicode MS"/>
          <w:color w:val="1F2933"/>
          <w:sz w:val="20"/>
        </w:rPr>
        <w:t>event_id 作为全局唯一幂等键；click_id 允许重复且仅作逻辑引用；维护待关联、成功、待重试和失败状态。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边界：</w:t>
      </w:r>
      <w:r>
        <w:rPr>
          <w:rFonts w:ascii="Arial Unicode MS" w:hAnsi="Arial Unicode MS" w:eastAsia="Arial Unicode MS" w:cs="Arial Unicode MS"/>
          <w:color w:val="1F2933"/>
          <w:sz w:val="20"/>
        </w:rPr>
        <w:t>事件状态只表示资产、组织和员工关联；不保存最终跳转目标、运行时规则或目标快照；不直接修改 LinkForty 表。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依赖：</w:t>
      </w:r>
      <w:r>
        <w:rPr>
          <w:rFonts w:ascii="Arial Unicode MS" w:hAnsi="Arial Unicode MS" w:eastAsia="Arial Unicode MS" w:cs="Arial Unicode MS"/>
          <w:color w:val="1F2933"/>
          <w:sz w:val="20"/>
        </w:rPr>
        <w:t>依赖 LinkForty 事件或受限读取、M3 的资产与内容、M4 的事件时点绑定。</w:t>
      </w:r>
    </w:p>
    <w:p>
      <w:pPr>
        <w:spacing w:after="80" w:line="288" w:lineRule="auto"/>
        <w:ind w:left="173" w:hanging="173"/>
      </w:pPr>
      <w:r>
        <w:rPr>
          <w:rFonts w:ascii="Arial Unicode MS" w:hAnsi="Arial Unicode MS" w:eastAsia="Arial Unicode MS" w:cs="Arial Unicode MS"/>
          <w:b/>
          <w:color w:val="1F4D78"/>
          <w:sz w:val="20"/>
        </w:rPr>
        <w:t>验收重点：</w:t>
      </w:r>
      <w:r>
        <w:rPr>
          <w:rFonts w:ascii="Arial Unicode MS" w:hAnsi="Arial Unicode MS" w:eastAsia="Arial Unicode MS" w:cs="Arial Unicode MS"/>
          <w:color w:val="1F2933"/>
          <w:sz w:val="20"/>
        </w:rPr>
        <w:t>缺失或重复 event_id、重复 click_id、关联失败、重试状态、首次 received_at 不更新和外部只读边界。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外部系统与横向能力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3860"/>
        <w:gridCol w:w="190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3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模块编号规则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Casdoor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外部身份边界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签发 JWT，维护身份、角色和功能权限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外部触点平台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链接、点击、Webhook 和底层访问能力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Adapter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设备适配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实体卡写入、读取和核验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批量导入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横向应用能力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预校验、幂等、逐行结果、明确的更新或新增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由 M3、M4 等责任模块执行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操作审计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横向治理能力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所有管理操作和批次均提交审计上下文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数据归属 M1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Worker / Celery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异步技术能力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外部同步、事件重试、导入和补偿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不占 M 编号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8.1 批量导入预留规则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预留载体内容批量修改、载体与员工绑定关系批量修改、载体与载体内容关系批量修改三类模板。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组织使用 org_code、员工使用 employee_code、载体优先使用 asset_code，可辅助使用 carrier_uid。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载体内容使用 asset_code 与 payload_type 的组合，或使用明确的内容记录 ID。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匹配到记录则更新；未匹配且必填字段完整则新增；缺少某行不推导删除、停用或解绑。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导入必须支持预校验、幂等键、逐行结果和失败原因；每批导入写入 operation_logs。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V1.3 不创建导入批次表和导入明细表，异步导入启用时再扩展模型。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数据所有权与模块依赖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200"/>
        <w:gridCol w:w="3400"/>
        <w:gridCol w:w="2960"/>
      </w:tblGrid>
      <w:tr>
        <w:trPr>
          <w:cantSplit/>
          <w:tblHeader w:val="true"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数据域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责任模块</w:t>
            </w:r>
          </w:p>
        </w:tc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主要依赖或使用方</w:t>
            </w:r>
          </w:p>
        </w:tc>
        <w:tc>
          <w:tcPr>
            <w:tcW w:type="dxa" w:w="2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写入边界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操作审计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M2～M5 和系统任务提交上下文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只有 M1 写 operation_logs，记录只追加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组织、员工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M2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 认证映射；M3、M4、M5 责任校验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其他模块不得绕过 M2 修改主数据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资产、内容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 绑定；M5 事件关联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其他模块通过 M3 规则维护责任信息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绑定历史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M4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 事件时点关联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记录只追加，不覆盖历史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访问事件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M5</w:t>
            </w:r>
          </w:p>
        </w:tc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审计查询或后续只读使用</w:t>
            </w:r>
          </w:p>
        </w:tc>
        <w:tc>
          <w:tcPr>
            <w:tcW w:type="dxa" w:w="29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event_id 唯一，关联状态由 M5 解释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 运行数据</w:t>
            </w:r>
          </w:p>
        </w:tc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LinkForty</w:t>
            </w:r>
          </w:p>
        </w:tc>
        <w:tc>
          <w:tcPr>
            <w:tcW w:type="dxa" w:w="3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M3、M5 通过 API、事件或受限读取使用</w:t>
            </w:r>
          </w:p>
        </w:tc>
        <w:tc>
          <w:tcPr>
            <w:tcW w:type="dxa" w:w="29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银行模块不得直接修改外部表</w:t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协作规则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跨模块调用可以读取责任模块数据或提交业务命令，但不得改变表的唯一所有者、绕过状态规则或把外部表纳入银行数据库迁移。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认证、数据范围与跨系统数据流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身份与数据范围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Casdoor 完成登录并签发 JWT。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后台验证 JWT 签名、issuer、audience 和过期时间。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后台从 Token 获取 employee_code，并由 M2 查询 employees。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员工不存在或停用时拒绝访问。</w:t>
      </w:r>
    </w:p>
    <w:p>
      <w:pPr>
        <w:pStyle w:val="14"/>
        <w:numPr>
          <w:ilvl w:val="0"/>
          <w:numId w:val="7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查询、导出和导入按员工所属 org_id 以及本人 employee_id 执行后端数据范围过滤。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10.2 资产、内容与 LinkForty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M3 维护 NFC 资产、卡内实际内容和当前责任范围。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touchpoint_payloads.linkforty_link_id 逻辑引用 LinkForty.links.id。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银行后台通过 LinkForty API 执行必要的外部同步，只在本地保存必要逻辑引用和同步结果。</w:t>
      </w:r>
    </w:p>
    <w:p>
      <w:pPr>
        <w:pStyle w:val="14"/>
        <w:numPr>
          <w:ilvl w:val="0"/>
          <w:numId w:val="8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M1 记录管理操作和外部同步结果，不记录密钥或 Token。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10.3 访问事件关联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LinkForty 事件通过 event_id、click_id 和外部链接标识进入银行后台。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以 event_id 执行幂等投影，click_id 仅用于逻辑关联。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结合 M3 资产与内容、M4 绑定历史确定资产、组织和员工。</w:t>
      </w:r>
    </w:p>
    <w:p>
      <w:pPr>
        <w:pStyle w:val="14"/>
        <w:numPr>
          <w:ilvl w:val="0"/>
          <w:numId w:val="9"/>
        </w:numPr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M5 写入 access_events 的关联状态、原因和完成时间；失败进入待重试或最终失败。</w:t>
      </w: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11. 后端分层和异步任务落点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5560"/>
      </w:tblGrid>
      <w:tr>
        <w:trPr>
          <w:cantSplit/>
          <w:tblHeader w:val="true"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5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 实施约定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Router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协议适配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接收请求、解析认证上下文、返回统一响应；不直接写 SQL 或调用外部系统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Service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业务规则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组织编码、数据范围、绑定时间冲突、导入预校验和审计编排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Repository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数据库访问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SQLAlchemy 查询、事务、索引和约束；不承载外部平台业务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Integration Adapter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外部调用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Casdoor Claim、LinkForty API、Webhook 和 NFC 适配及重试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Worker / Celery</w:t>
            </w:r>
          </w:p>
        </w:tc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异步任务</w:t>
            </w:r>
          </w:p>
        </w:tc>
        <w:tc>
          <w:tcPr>
            <w:tcW w:type="dxa" w:w="5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外部同步、事件重试、批量导入、补偿和结果审计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Alembic</w:t>
            </w:r>
          </w:p>
        </w:tc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数据库演进</w:t>
            </w:r>
          </w:p>
        </w:tc>
        <w:tc>
          <w:tcPr>
            <w:tcW w:type="dxa" w:w="5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只演进银行侧 7 张业务表；禁止修改 LinkForty 平台表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12. 两人研发工作包划分</w:t>
      </w:r>
    </w:p>
    <w:p>
      <w:pPr>
        <w:spacing w:line="300" w:lineRule="auto"/>
      </w:pPr>
      <w:r>
        <w:rPr>
          <w:rFonts w:ascii="Arial Unicode MS" w:hAnsi="Arial Unicode MS" w:eastAsia="Arial Unicode MS" w:cs="Arial Unicode MS"/>
          <w:color w:val="1F2933"/>
          <w:sz w:val="21"/>
        </w:rPr>
        <w:t>模块数量保持五个，研发执行按业务依赖和数据表数量组合为两个工作包。工作包是人员分工，不改变模块编号、数据所有权或跨模块写入规则。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2700"/>
        <w:gridCol w:w="2400"/>
        <w:gridCol w:w="2060"/>
      </w:tblGrid>
      <w:tr>
        <w:trPr>
          <w:cantSplit/>
          <w:tblHeader w:val="true"/>
        </w:trPr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</w:t>
            </w:r>
          </w:p>
        </w:tc>
        <w:tc>
          <w:tcPr>
            <w:tcW w:type="dxa" w:w="1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负责模块</w:t>
            </w:r>
          </w:p>
        </w:tc>
        <w:tc>
          <w:tcPr>
            <w:tcW w:type="dxa" w:w="2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主要数据表</w:t>
            </w:r>
          </w:p>
        </w:tc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研发重点</w:t>
            </w:r>
          </w:p>
        </w:tc>
        <w:tc>
          <w:tcPr>
            <w:tcW w:type="dxa" w:w="2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主要交接</w:t>
            </w:r>
          </w:p>
        </w:tc>
      </w:tr>
      <w:tr>
        <w:trPr>
          <w:cantSplit/>
        </w:trPr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A</w:t>
            </w:r>
          </w:p>
        </w:tc>
        <w:tc>
          <w:tcPr>
            <w:tcW w:type="dxa" w:w="1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M1、M2、M4</w:t>
            </w:r>
          </w:p>
        </w:tc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operation_logs</w:t>
              <w:br/>
              <w:t>organization_units</w:t>
              <w:br/>
              <w:t>employees</w:t>
              <w:br/>
              <w:t>touchpoint_employee_assignments</w:t>
            </w:r>
          </w:p>
        </w:tc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访问上下文、审计、主数据和绑定生命周期</w:t>
            </w:r>
          </w:p>
        </w:tc>
        <w:tc>
          <w:tcPr>
            <w:tcW w:type="dxa" w:w="2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向 B 提供员工/组织校验、绑定和审计上下文</w:t>
            </w:r>
          </w:p>
        </w:tc>
      </w:tr>
      <w:tr>
        <w:trPr>
          <w:cantSplit/>
        </w:trPr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B</w:t>
            </w:r>
          </w:p>
        </w:tc>
        <w:tc>
          <w:tcPr>
            <w:tcW w:type="dxa" w:w="1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M3、M5</w:t>
            </w:r>
          </w:p>
        </w:tc>
        <w:tc>
          <w:tcPr>
            <w:tcW w:type="dxa" w:w="2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touchpoint_assets</w:t>
              <w:br/>
              <w:t>touchpoint_payloads</w:t>
              <w:br/>
              <w:t>access_events</w:t>
            </w:r>
          </w:p>
        </w:tc>
        <w:tc>
          <w:tcPr>
            <w:tcW w:type="dxa" w:w="2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NFC 资产内容、LinkForty 集成和访问事件</w:t>
            </w:r>
          </w:p>
        </w:tc>
        <w:tc>
          <w:tcPr>
            <w:tcW w:type="dxa" w:w="2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向 A 提供资产状态、外部逻辑引用和事件反馈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12.1 共同冻结的协作契约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身份与范围：employee_code、org_id、employee_id 及停用员工拒绝规则。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资产与绑定：asset_id、employee_id、effective_from、effective_to 和绑定状态。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外部链接：linkforty_link_id 的 UUID 语义和只作为逻辑引用的边界。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事件幂等：event_id 全局唯一，click_id 非唯一。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治理上下文：trace_id、操作对象、执行结果、失败摘要和补偿状态。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12.2 建议协作节奏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2600"/>
        <w:gridCol w:w="2660"/>
      </w:tblGrid>
      <w:tr>
        <w:trPr>
          <w:cantSplit/>
          <w:tblHeader w:val="true"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 A</w:t>
            </w:r>
          </w:p>
        </w:tc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工作包 B</w:t>
            </w:r>
          </w:p>
        </w:tc>
        <w:tc>
          <w:tcPr>
            <w:tcW w:type="dxa" w:w="2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共同验收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第一阶段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M1 审计基础、M2 主数据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M3 资产和载体内容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身份、范围、资产和审计字段契约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第二阶段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M4 绑定生命周期</w:t>
            </w:r>
          </w:p>
        </w:tc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M5 事件幂等与关联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资产—绑定—事件关联链路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第三阶段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补齐审计和边界检查</w:t>
            </w:r>
          </w:p>
        </w:tc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补齐外部失败和重试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8"/>
              </w:rPr>
              <w:t>跨模块权限、幂等、补偿和文档验收</w:t>
            </w:r>
          </w:p>
        </w:tc>
      </w:tr>
    </w:tbl>
    <w:p>
      <w:pPr>
        <w:spacing w:before="0"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13. 旧版编号迁移及待确认事项</w:t>
      </w: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13.1 旧版编号到新版编号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3860"/>
      </w:tblGrid>
      <w:tr>
        <w:trPr>
          <w:cantSplit/>
          <w:tblHeader w:val="true"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旧版模块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新版处理</w:t>
            </w:r>
          </w:p>
        </w:tc>
        <w:tc>
          <w:tcPr>
            <w:tcW w:type="dxa" w:w="3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V1.3 依据或清理结果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M1 后台访问、IAM 与操作审计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M1 后台访问与操作审计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仅保留外部身份适配与 operation_logs；不创建 iam_* 表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M2 机构与客户经理管理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M2 组织与员工管理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customer_managers 改为 employees；不使用 parent_org_id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M3 触点载体及载体内容管理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M3 NFC 触点资产与载体内容管理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不使用 config_status；资产位置字段不属于 touchpoint_assets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M4 触点载体绑定生命周期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M4 触点载体员工绑定管理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绑定表改为 touchpoint_employee_assignments；删除名称快照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M5 目标资源管理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 已下线，不分配新编号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不创建 target_resources，也不列为预留业务模块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M6 路由规则配置与发布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 已下线，不分配新编号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不创建 routing_rules，不维护路由发布状态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M7 访问事件接入与关联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新 M5 访问事件接入与关联管理</w:t>
            </w:r>
          </w:p>
        </w:tc>
        <w:tc>
          <w:tcPr>
            <w:tcW w:type="dxa" w:w="3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仅关联资产、绑定、组织和员工；event_id 唯一，click_id 非唯一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旧 M8 统计分析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不纳入新版业务模块</w:t>
            </w:r>
          </w:p>
        </w:tc>
        <w:tc>
          <w:tcPr>
            <w:tcW w:type="dxa" w:w="3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vAlign w:val="center"/>
          </w:tcPr>
          <w:p>
            <w:pPr>
              <w:spacing w:before="20" w:after="2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2933"/>
                <w:sz w:val="17"/>
              </w:rPr>
              <w:t>V1.3 物理模型未定义其模块归属或专属本地表</w:t>
            </w:r>
          </w:p>
        </w:tc>
      </w:tr>
    </w:tbl>
    <w:p>
      <w:pPr>
        <w:spacing w:before="0" w:after="60"/>
      </w:pPr>
    </w:p>
    <w:p>
      <w:pPr>
        <w:pStyle w:val="4"/>
        <w:keepNext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13.2 V1.3 待确认事项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A97800"/>
                <w:sz w:val="20"/>
              </w:rPr>
              <w:t xml:space="preserve">字段定义不一致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V1.3 在数据域职责、LinkForty 交互约定和状态枚举中提到 external_sync_status，但 touchpoint_payloads 的详细字段表未列出该字段。V3.0 只记录此差异，不补造字段类型、默认值或约束。</w:t>
            </w:r>
          </w:p>
        </w:tc>
      </w:tr>
    </w:tbl>
    <w:p>
      <w:pPr>
        <w:spacing w:after="60"/>
      </w:pPr>
    </w:p>
    <w:p>
      <w:pPr>
        <w:pStyle w:val="3"/>
        <w:keepNext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14. V3.0 更新日志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2026-08-18：业务模块由旧 M1～M8 重整为新 M1～M5，并采用连续编号。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2026-08-18：删除独立统计分析模块，旧 M8 不转换为新版模块。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2026-08-18：统一使用 employees 和 touchpoint_employee_assignments。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2026-08-18：移除本地 IAM、目标资源和路由发布相关模块及数据对象。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2026-08-18：将旧 M7 访问事件模块重新编号为新 M5。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2026-08-18：增加工作包 A（M1/M2/M4）和工作包 B（M3/M5），不改变数据所有权。</w:t>
      </w:r>
    </w:p>
    <w:p>
      <w:pPr>
        <w:pStyle w:val="16"/>
        <w:spacing w:after="80" w:line="293" w:lineRule="auto"/>
        <w:ind w:left="547" w:hanging="274"/>
      </w:pPr>
      <w:r>
        <w:rPr>
          <w:rFonts w:ascii="Arial Unicode MS" w:hAnsi="Arial Unicode MS" w:eastAsia="Arial Unicode MS" w:cs="Arial Unicode MS"/>
          <w:color w:val="1F2933"/>
          <w:sz w:val="20"/>
        </w:rPr>
        <w:t>2026-08-18：记录 external_sync_status 在 V1.3 中的字段定义不一致，等待物理模型确认。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B8C6D9"/>
              <w:left w:val="single" w:sz="6" w:space="0" w:color="B8C6D9"/>
              <w:bottom w:val="single" w:sz="6" w:space="0" w:color="B8C6D9"/>
              <w:right w:val="single" w:sz="6" w:space="0" w:color="B8C6D9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20"/>
              </w:rPr>
              <w:t xml:space="preserve">生效说明  </w:t>
            </w:r>
            <w:r>
              <w:rPr>
                <w:rFonts w:ascii="Arial Unicode MS" w:hAnsi="Arial Unicode MS" w:eastAsia="Arial Unicode MS" w:cs="Arial Unicode MS"/>
                <w:color w:val="1F2933"/>
                <w:sz w:val="20"/>
              </w:rPr>
              <w:t>本版生效后，当前业务模块只包括 M1～M5；旧编号仅通过第 13 章追溯。</w:t>
            </w:r>
          </w:p>
        </w:tc>
      </w:tr>
    </w:tbl>
    <w:p>
      <w:pPr>
        <w:spacing w:after="6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3B79D">
    <w:pPr>
      <w:pStyle w:val="24"/>
      <w:spacing w:before="0"/>
      <w:jc w:val="right"/>
    </w:pPr>
    <w:r>
      <w:rPr>
        <w:rFonts w:ascii="Arial Unicode MS" w:hAnsi="Arial Unicode MS" w:eastAsia="Arial Unicode MS" w:cs="Arial Unicode MS"/>
        <w:color w:val="667085"/>
        <w:sz w:val="17"/>
      </w:rPr>
      <w:t xml:space="preserve">2026-08-18  |  V3.0  |  </w:t>
    </w:r>
    <w:r>
      <w:rPr>
        <w:rFonts w:ascii="Arial Unicode MS" w:hAnsi="Arial Unicode MS" w:eastAsia="Arial Unicode MS" w:cs="Arial Unicode MS"/>
        <w:color w:val="667085"/>
        <w:sz w:val="17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 w:cs="Arial Unicode MS"/>
        <w:color w:val="667085"/>
        <w:sz w:val="17"/>
      </w:rPr>
      <w:t xml:space="preserve"> / </w:t>
    </w:r>
    <w:r>
      <w:rPr>
        <w:rFonts w:ascii="Arial Unicode MS" w:hAnsi="Arial Unicode MS" w:eastAsia="Arial Unicode MS" w:cs="Arial Unicode MS"/>
        <w:color w:val="667085"/>
        <w:sz w:val="17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A9F7D">
    <w:pPr>
      <w:pStyle w:val="25"/>
      <w:spacing w:after="0"/>
      <w:jc w:val="left"/>
    </w:pPr>
    <w:r>
      <w:rPr>
        <w:rFonts w:ascii="Arial Unicode MS" w:hAnsi="Arial Unicode MS" w:eastAsia="Arial Unicode MS" w:cs="Arial Unicode MS"/>
        <w:color w:val="667085"/>
        <w:sz w:val="17"/>
      </w:rPr>
      <w:t>银行触点载体管理系统  /  V1.3 模块划分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FEDFF"/>
    <w:rsid w:val="6FFF98D6"/>
    <w:rsid w:val="772FE260"/>
    <w:rsid w:val="77631969"/>
    <w:rsid w:val="7F4E5482"/>
    <w:rsid w:val="B84A7149"/>
    <w:rsid w:val="BB5F3A5C"/>
    <w:rsid w:val="EFFFE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 w:before="0"/>
    </w:pPr>
    <w:rPr>
      <w:rFonts w:hint="eastAsia" w:ascii="Arial Unicode MS" w:hAnsi="Arial Unicode MS" w:eastAsia="Arial Unicode MS" w:cs="Arial Unicode MS"/>
      <w:b w:val="0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hint="eastAsia" w:asciiTheme="majorHAnsi" w:hAnsiTheme="majorHAnsi" w:eastAsiaTheme="majorEastAsia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93" w:lineRule="auto"/>
      <w:contextualSpacing/>
    </w:pPr>
    <w:rPr>
      <w:rFonts w:hint="eastAsia" w:ascii="Arial Unicode MS" w:hAnsi="Arial Unicode MS" w:eastAsia="Arial Unicode MS" w:cs="Arial Unicode MS"/>
      <w:b w:val="0"/>
      <w:color w:val="1F2933"/>
      <w:sz w:val="2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银行触点载体管理系统项目组</dc:creator>
  <dc:description>V3.0 有效业务模块为 M1-M5；V2.2 仅作为版式和迁移编号参考。</dc:description>
  <cp:keywords>NFC, 银行触点载体, V1.3, M1-M5, LinkForty, Casdoor</cp:keywords>
  <cp:lastModifiedBy>诗酒趁年华</cp:lastModifiedBy>
  <dcterms:modified xsi:type="dcterms:W3CDTF">2026-08-07T09:50:13Z</dcterms:modified>
  <dc:subject>仅依据 V1.3 数据物理模型形成的 M1-M5 模块划分</dc:subject>
  <dc:title>银行触点载体管理系统 MVP 功能模块划分分析方案 V3.0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B586186D3858B12E2533756A41EEFC5A_43</vt:lpwstr>
  </property>
</Properties>
</file>