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680" w:after="100"/>
      </w:pPr>
      <w:r>
        <w:rPr>
          <w:rFonts w:ascii="Arial Unicode MS" w:hAnsi="Arial Unicode MS" w:eastAsia="Arial Unicode MS" w:cs="Arial Unicode MS"/>
          <w:b/>
          <w:color w:val="667085"/>
          <w:sz w:val="26"/>
        </w:rPr>
        <w:t>银行触点载体管理系统</w:t>
      </w:r>
    </w:p>
    <w:p>
      <w:pPr>
        <w:spacing w:after="140"/>
      </w:pPr>
      <w:r>
        <w:rPr>
          <w:rFonts w:ascii="Arial Unicode MS" w:hAnsi="Arial Unicode MS" w:eastAsia="Arial Unicode MS" w:cs="Arial Unicode MS"/>
          <w:b/>
          <w:color w:val="1F4D78"/>
          <w:sz w:val="50"/>
        </w:rPr>
        <w:t>MVP 功能模块划分分析方案</w:t>
      </w:r>
    </w:p>
    <w:p>
      <w:pPr>
        <w:spacing w:after="440"/>
      </w:pPr>
      <w:r>
        <w:rPr>
          <w:rFonts w:ascii="Arial Unicode MS" w:hAnsi="Arial Unicode MS" w:eastAsia="Arial Unicode MS" w:cs="Arial Unicode MS"/>
          <w:color w:val="2E74B5"/>
          <w:sz w:val="28"/>
        </w:rPr>
        <w:t>V3.1 · 基于 V1.3.1 物理模型重新编号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4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文档版本</w:t>
            </w:r>
          </w:p>
        </w:tc>
        <w:tc>
          <w:tcPr>
            <w:tcW w:type="dxa" w:w="74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V3.1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编制日期</w:t>
            </w:r>
          </w:p>
        </w:tc>
        <w:tc>
          <w:tcPr>
            <w:tcW w:type="dxa" w:w="74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2026 年 08 月 18 日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唯一业务基线</w:t>
            </w:r>
          </w:p>
        </w:tc>
        <w:tc>
          <w:tcPr>
            <w:tcW w:type="dxa" w:w="74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银行触点载体管理系统_数据物理模型_V1.3.1.docx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版式与迁移参考</w:t>
            </w:r>
          </w:p>
        </w:tc>
        <w:tc>
          <w:tcPr>
            <w:tcW w:type="dxa" w:w="74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MVP 功能模块划分分析方案 V2.2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有效模块编号</w:t>
            </w:r>
          </w:p>
        </w:tc>
        <w:tc>
          <w:tcPr>
            <w:tcW w:type="dxa" w:w="74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M1～M5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适用对象</w:t>
            </w:r>
          </w:p>
        </w:tc>
        <w:tc>
          <w:tcPr>
            <w:tcW w:type="dxa" w:w="74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两人研发团队及产品、架构、测试和验收人员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20"/>
              </w:rPr>
              <w:t xml:space="preserve">使用边界  </w:t>
            </w:r>
            <w:r>
              <w:rPr>
                <w:rFonts w:ascii="Arial Unicode MS" w:hAnsi="Arial Unicode MS" w:eastAsia="Arial Unicode MS" w:cs="Arial Unicode MS"/>
                <w:color w:val="1F2933"/>
                <w:sz w:val="20"/>
              </w:rPr>
              <w:t>本文只定义 V1.3.1 的模块、数据所有权、外部边界和两人研发工作包；不声明具体 API、页面、代码目录或工程完成情况。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1. 文档目的与版本信息</w:t>
      </w:r>
    </w:p>
    <w:p>
      <w:pPr>
        <w:spacing w:line="300" w:lineRule="auto"/>
      </w:pPr>
      <w:r>
        <w:rPr>
          <w:rFonts w:ascii="Arial Unicode MS" w:hAnsi="Arial Unicode MS" w:eastAsia="Arial Unicode MS" w:cs="Arial Unicode MS"/>
          <w:color w:val="1F2933"/>
          <w:sz w:val="21"/>
        </w:rPr>
        <w:t>本文在 V2.2 的章节和视觉结构基础上，严格依据 V1.3.1 数据物理模型重新确定有效业务模块、连续编号、数据所有权、外部系统边界和两人研发工作包。</w:t>
      </w:r>
    </w:p>
    <w:p>
      <w:pPr>
        <w:spacing w:line="300" w:lineRule="auto"/>
      </w:pPr>
      <w:r>
        <w:rPr>
          <w:rFonts w:ascii="Arial Unicode MS" w:hAnsi="Arial Unicode MS" w:eastAsia="Arial Unicode MS" w:cs="Arial Unicode MS"/>
          <w:color w:val="1F2933"/>
          <w:sz w:val="21"/>
        </w:rPr>
        <w:t>V3.1 的有效业务模块为 M1～M5。旧编号仅用于迁移追溯，不得继续用于新需求、研发任务或验收项。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版本事项</w:t>
            </w:r>
          </w:p>
        </w:tc>
        <w:tc>
          <w:tcPr>
            <w:tcW w:type="dxa" w:w="7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V3.1 结论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业务内容来源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仅使用 V1.3.1 数据物理模型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版式来源</w:t>
            </w:r>
          </w:p>
        </w:tc>
        <w:tc>
          <w:tcPr>
            <w:tcW w:type="dxa" w:w="7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V2.2 的 Letter 页面、蓝色标题层级、表格和页脚体系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编号结果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五个有效业务模块，连续编号为 M1～M5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人员组织</w:t>
            </w:r>
          </w:p>
        </w:tc>
        <w:tc>
          <w:tcPr>
            <w:tcW w:type="dxa" w:w="7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五个业务模块映射为两个研发工作包，不改变模块数据所有权</w:t>
            </w:r>
          </w:p>
        </w:tc>
      </w:tr>
    </w:tbl>
    <w:p>
      <w:pPr>
        <w:spacing w:before="0" w:after="60"/>
      </w:pP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2. 编制基线与使用约束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V1.3.1 数据物理模型是本文件唯一业务事实来源；表、字段、状态、外部边界和实施分层均从该模型提取。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V2.2 只提供版式、章节组织和旧编号迁移信息；其中与 V1.3.1 冲突的业务内容不得沿用。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本文不引用其他项目文档、接口草案、权限矩阵、代码目录、迁移实现或测试状态。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V1.3.1 已明确的物理字段、状态和边界直接作为本文结论；本文不补造字段、接口或验收承诺。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20"/>
              </w:rPr>
              <w:t xml:space="preserve">判定原则  </w:t>
            </w:r>
            <w:r>
              <w:rPr>
                <w:rFonts w:ascii="Arial Unicode MS" w:hAnsi="Arial Unicode MS" w:eastAsia="Arial Unicode MS" w:cs="Arial Unicode MS"/>
                <w:color w:val="1F2933"/>
                <w:sz w:val="20"/>
              </w:rPr>
              <w:t>当旧版模块叙述与 V1.3.1 物理模型不一致时，以 V1.3.1 为准；当 V1.3.1 内部存在不一致时，只记录问题，不自行修正模型。</w:t>
            </w:r>
          </w:p>
        </w:tc>
      </w:tr>
    </w:tbl>
    <w:p>
      <w:pPr>
        <w:spacing w:after="60"/>
      </w:pP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3. V1.3.1 系统范围和边界</w:t>
      </w:r>
    </w:p>
    <w:p>
      <w:pPr>
        <w:spacing w:line="300" w:lineRule="auto"/>
      </w:pPr>
      <w:r>
        <w:rPr>
          <w:rFonts w:ascii="Arial Unicode MS" w:hAnsi="Arial Unicode MS" w:eastAsia="Arial Unicode MS" w:cs="Arial Unicode MS"/>
          <w:color w:val="1F2933"/>
          <w:sz w:val="21"/>
        </w:rPr>
        <w:t>V1.3.1 的正式范围为 7 张银行业务表、8 张 LinkForty 外部现有表，以及 Casdoor 外部身份边界。银行库只维护银行业务主数据和审计投影。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44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边界对象</w:t>
            </w:r>
          </w:p>
        </w:tc>
        <w:tc>
          <w:tcPr>
            <w:tcW w:type="dxa" w:w="3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V1.3.1 定位</w:t>
            </w:r>
          </w:p>
        </w:tc>
        <w:tc>
          <w:tcPr>
            <w:tcW w:type="dxa" w:w="44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银行后台约束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银行业务数据库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7 张本地业务表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由银行后台负责数据所有权和演进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Casdoor</w:t>
            </w:r>
          </w:p>
        </w:tc>
        <w:tc>
          <w:tcPr>
            <w:tcW w:type="dxa" w:w="3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身份、角色与功能权限权威</w:t>
            </w:r>
          </w:p>
        </w:tc>
        <w:tc>
          <w:tcPr>
            <w:tcW w:type="dxa" w:w="44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验证 JWT 并读取 employee_code，不建立本地权限投影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LinkForty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链接、点击和 Webhook 等底层能力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写入走 API；读取受限；不直接迁移或修改外部表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NFC</w:t>
            </w:r>
          </w:p>
        </w:tc>
        <w:tc>
          <w:tcPr>
            <w:tcW w:type="dxa" w:w="3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一期触点载体类型</w:t>
            </w:r>
          </w:p>
        </w:tc>
        <w:tc>
          <w:tcPr>
            <w:tcW w:type="dxa" w:w="44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资产类型固定为 NFC，写入和核验通过适配能力完成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A97800"/>
                <w:sz w:val="20"/>
              </w:rPr>
              <w:t xml:space="preserve">外部表保护  </w:t>
            </w:r>
            <w:r>
              <w:rPr>
                <w:rFonts w:ascii="Arial Unicode MS" w:hAnsi="Arial Unicode MS" w:eastAsia="Arial Unicode MS" w:cs="Arial Unicode MS"/>
                <w:color w:val="1F2933"/>
                <w:sz w:val="20"/>
              </w:rPr>
              <w:t>银行系统不得对 LinkForty 物理表执行 DDL、DML、TRUNCATE 或迁移，也不得读取、记录或输出 Webhook 密钥值。</w:t>
            </w:r>
          </w:p>
        </w:tc>
      </w:tr>
    </w:tbl>
    <w:p>
      <w:pPr>
        <w:spacing w:after="60"/>
      </w:pP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4. 模块划分原则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以数据所有权为第一原则：每张银行业务表只有一个负责写入和状态解释的模块。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模块按业务内聚性划分，不按照开发人员数量机械拆分；两人协作通过研发工作包解决。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外部系统、设备适配、批量导入、幂等、审计和异步任务属于外部或横向能力，不单独占用 M 编号。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跨模块读取不得改变数据所有权；跨模块写入必须通过责任模块的业务规则执行。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银行业务表不依赖数据库级级联删除，关系完整性由 Service 和 Repository 的事务校验保证。</w:t>
      </w: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5. 物理模型与数据归属</w:t>
      </w: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5.1 银行侧 7 张业务表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3150"/>
        <w:gridCol w:w="1100"/>
        <w:gridCol w:w="4410"/>
      </w:tblGrid>
      <w:tr>
        <w:trPr>
          <w:cantSplit/>
          <w:tblHeader w:val="true"/>
        </w:trPr>
        <w:tc>
          <w:tcPr>
            <w:tcW w:type="dxa" w:w="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序号</w:t>
            </w:r>
          </w:p>
        </w:tc>
        <w:tc>
          <w:tcPr>
            <w:tcW w:type="dxa" w:w="31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物理表</w:t>
            </w:r>
          </w:p>
        </w:tc>
        <w:tc>
          <w:tcPr>
            <w:tcW w:type="dxa" w:w="1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新归属</w:t>
            </w:r>
          </w:p>
        </w:tc>
        <w:tc>
          <w:tcPr>
            <w:tcW w:type="dxa" w:w="441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数据职责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1</w:t>
            </w:r>
          </w:p>
        </w:tc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operation_logs</w:t>
            </w:r>
          </w:p>
        </w:tc>
        <w:tc>
          <w:tcPr>
            <w:tcW w:type="dxa" w:w="1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M1</w:t>
            </w:r>
          </w:p>
        </w:tc>
        <w:tc>
          <w:tcPr>
            <w:tcW w:type="dxa" w:w="44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员工和系统操作审计，只追加</w:t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2</w:t>
            </w:r>
          </w:p>
        </w:tc>
        <w:tc>
          <w:tcPr>
            <w:tcW w:type="dxa" w:w="31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organization_units</w:t>
            </w:r>
          </w:p>
        </w:tc>
        <w:tc>
          <w:tcPr>
            <w:tcW w:type="dxa" w:w="1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M2</w:t>
            </w:r>
          </w:p>
        </w:tc>
        <w:tc>
          <w:tcPr>
            <w:tcW w:type="dxa" w:w="44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组织编码层级和数据范围根节点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3</w:t>
            </w:r>
          </w:p>
        </w:tc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employees</w:t>
            </w:r>
          </w:p>
        </w:tc>
        <w:tc>
          <w:tcPr>
            <w:tcW w:type="dxa" w:w="1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M2</w:t>
            </w:r>
          </w:p>
        </w:tc>
        <w:tc>
          <w:tcPr>
            <w:tcW w:type="dxa" w:w="44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员工编码、员工名称和直接所属组织</w:t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4</w:t>
            </w:r>
          </w:p>
        </w:tc>
        <w:tc>
          <w:tcPr>
            <w:tcW w:type="dxa" w:w="31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touchpoint_assets</w:t>
            </w:r>
          </w:p>
        </w:tc>
        <w:tc>
          <w:tcPr>
            <w:tcW w:type="dxa" w:w="1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M3</w:t>
            </w:r>
          </w:p>
        </w:tc>
        <w:tc>
          <w:tcPr>
            <w:tcW w:type="dxa" w:w="44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NFC 载体业务编码、物理 UID 和当前责任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5</w:t>
            </w:r>
          </w:p>
        </w:tc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touchpoint_payloads</w:t>
            </w:r>
          </w:p>
        </w:tc>
        <w:tc>
          <w:tcPr>
            <w:tcW w:type="dxa" w:w="1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M3</w:t>
            </w:r>
          </w:p>
        </w:tc>
        <w:tc>
          <w:tcPr>
            <w:tcW w:type="dxa" w:w="44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卡内实际写入内容及 LinkForty 逻辑引用；不保存同步状态</w:t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6</w:t>
            </w:r>
          </w:p>
        </w:tc>
        <w:tc>
          <w:tcPr>
            <w:tcW w:type="dxa" w:w="31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touchpoint_employee_assignments</w:t>
            </w:r>
          </w:p>
        </w:tc>
        <w:tc>
          <w:tcPr>
            <w:tcW w:type="dxa" w:w="1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M4</w:t>
            </w:r>
          </w:p>
        </w:tc>
        <w:tc>
          <w:tcPr>
            <w:tcW w:type="dxa" w:w="44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载体与员工的当前及历史绑定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7</w:t>
            </w:r>
          </w:p>
        </w:tc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access_events</w:t>
            </w:r>
          </w:p>
        </w:tc>
        <w:tc>
          <w:tcPr>
            <w:tcW w:type="dxa" w:w="1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M5</w:t>
            </w:r>
          </w:p>
        </w:tc>
        <w:tc>
          <w:tcPr>
            <w:tcW w:type="dxa" w:w="44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访问事件幂等投影及资产、组织、员工关联</w:t>
            </w:r>
          </w:p>
        </w:tc>
      </w:tr>
    </w:tbl>
    <w:p>
      <w:pPr>
        <w:spacing w:before="0" w:after="60"/>
      </w:pP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5.2 LinkForty 外部 8 张现有表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000"/>
        <w:gridCol w:w="3660"/>
      </w:tblGrid>
      <w:tr>
        <w:trPr>
          <w:cantSplit/>
          <w:tblHeader w:val="true"/>
        </w:trPr>
        <w:tc>
          <w:tcPr>
            <w:tcW w:type="dxa" w:w="2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外部表</w:t>
            </w:r>
          </w:p>
        </w:tc>
        <w:tc>
          <w:tcPr>
            <w:tcW w:type="dxa" w:w="3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外部职责</w:t>
            </w:r>
          </w:p>
        </w:tc>
        <w:tc>
          <w:tcPr>
            <w:tcW w:type="dxa" w:w="36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银行侧边界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link_templates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链接模板</w:t>
            </w:r>
          </w:p>
        </w:tc>
        <w:tc>
          <w:tcPr>
            <w:tcW w:type="dxa" w:w="3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外部拥有；银行侧不迁移</w:t>
            </w:r>
          </w:p>
        </w:tc>
      </w:tr>
      <w:tr>
        <w:trPr>
          <w:cantSplit/>
        </w:trPr>
        <w:tc>
          <w:tcPr>
            <w:tcW w:type="dxa" w:w="2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links</w:t>
            </w:r>
          </w:p>
        </w:tc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链接主数据</w:t>
            </w:r>
          </w:p>
        </w:tc>
        <w:tc>
          <w:tcPr>
            <w:tcW w:type="dxa" w:w="3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通过 linkforty_link_id 逻辑引用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click_events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点击事实</w:t>
            </w:r>
          </w:p>
        </w:tc>
        <w:tc>
          <w:tcPr>
            <w:tcW w:type="dxa" w:w="3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通过受限读取或事件关联使用</w:t>
            </w:r>
          </w:p>
        </w:tc>
      </w:tr>
      <w:tr>
        <w:trPr>
          <w:cantSplit/>
        </w:trPr>
        <w:tc>
          <w:tcPr>
            <w:tcW w:type="dxa" w:w="2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device_fingerprints</w:t>
            </w:r>
          </w:p>
        </w:tc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设备指纹事实</w:t>
            </w:r>
          </w:p>
        </w:tc>
        <w:tc>
          <w:tcPr>
            <w:tcW w:type="dxa" w:w="3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仅属于 LinkForty 外部模型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install_events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安装事件事实</w:t>
            </w:r>
          </w:p>
        </w:tc>
        <w:tc>
          <w:tcPr>
            <w:tcW w:type="dxa" w:w="3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仅属于 LinkForty 外部模型</w:t>
            </w:r>
          </w:p>
        </w:tc>
      </w:tr>
      <w:tr>
        <w:trPr>
          <w:cantSplit/>
        </w:trPr>
        <w:tc>
          <w:tcPr>
            <w:tcW w:type="dxa" w:w="2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in_app_events</w:t>
            </w:r>
          </w:p>
        </w:tc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App 内事件事实</w:t>
            </w:r>
          </w:p>
        </w:tc>
        <w:tc>
          <w:tcPr>
            <w:tcW w:type="dxa" w:w="3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仅属于 LinkForty 外部模型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webhooks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Webhook 配置</w:t>
            </w:r>
          </w:p>
        </w:tc>
        <w:tc>
          <w:tcPr>
            <w:tcW w:type="dxa" w:w="3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密钥值不得进入银行日志或文档</w:t>
            </w:r>
          </w:p>
        </w:tc>
      </w:tr>
      <w:tr>
        <w:trPr>
          <w:cantSplit/>
        </w:trPr>
        <w:tc>
          <w:tcPr>
            <w:tcW w:type="dxa" w:w="2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webhook_deliveries</w:t>
            </w:r>
          </w:p>
        </w:tc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Webhook 投递记录</w:t>
            </w:r>
          </w:p>
        </w:tc>
        <w:tc>
          <w:tcPr>
            <w:tcW w:type="dxa" w:w="3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外部拥有；银行侧不写入</w:t>
            </w:r>
          </w:p>
        </w:tc>
      </w:tr>
    </w:tbl>
    <w:p>
      <w:pPr>
        <w:spacing w:before="0" w:after="60"/>
      </w:pP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6. 新版模块总览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250"/>
        <w:gridCol w:w="2400"/>
        <w:gridCol w:w="2700"/>
        <w:gridCol w:w="1360"/>
      </w:tblGrid>
      <w:tr>
        <w:trPr>
          <w:cantSplit/>
          <w:tblHeader w:val="true"/>
        </w:trPr>
        <w:tc>
          <w:tcPr>
            <w:tcW w:type="dxa" w:w="6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22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模块名称</w:t>
            </w:r>
          </w:p>
        </w:tc>
        <w:tc>
          <w:tcPr>
            <w:tcW w:type="dxa" w:w="2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唯一数据所有权</w:t>
            </w:r>
          </w:p>
        </w:tc>
        <w:tc>
          <w:tcPr>
            <w:tcW w:type="dxa" w:w="2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核心职责</w:t>
            </w:r>
          </w:p>
        </w:tc>
        <w:tc>
          <w:tcPr>
            <w:tcW w:type="dxa" w:w="1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主要外部依赖</w:t>
            </w:r>
          </w:p>
        </w:tc>
      </w:tr>
      <w:tr>
        <w:trPr>
          <w:cantSplit/>
        </w:trPr>
        <w:tc>
          <w:tcPr>
            <w:tcW w:type="dxa" w:w="6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M1</w:t>
            </w:r>
          </w:p>
        </w:tc>
        <w:tc>
          <w:tcPr>
            <w:tcW w:type="dxa" w:w="22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后台访问与操作审计</w:t>
            </w:r>
          </w:p>
        </w:tc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operation_logs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认证上下文协作与操作审计</w:t>
            </w:r>
          </w:p>
        </w:tc>
        <w:tc>
          <w:tcPr>
            <w:tcW w:type="dxa" w:w="1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Casdoor</w:t>
            </w:r>
          </w:p>
        </w:tc>
      </w:tr>
      <w:tr>
        <w:trPr>
          <w:cantSplit/>
        </w:trPr>
        <w:tc>
          <w:tcPr>
            <w:tcW w:type="dxa" w:w="6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M2</w:t>
            </w:r>
          </w:p>
        </w:tc>
        <w:tc>
          <w:tcPr>
            <w:tcW w:type="dxa" w:w="22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组织与员工管理</w:t>
            </w:r>
          </w:p>
        </w:tc>
        <w:tc>
          <w:tcPr>
            <w:tcW w:type="dxa" w:w="2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organization_units</w:t>
              <w:br/>
              <w:t>employees</w:t>
            </w:r>
          </w:p>
        </w:tc>
        <w:tc>
          <w:tcPr>
            <w:tcW w:type="dxa" w:w="2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组织层级、员工主数据和数据范围</w:t>
            </w:r>
          </w:p>
        </w:tc>
        <w:tc>
          <w:tcPr>
            <w:tcW w:type="dxa" w:w="1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Casdoor Claim</w:t>
            </w:r>
          </w:p>
        </w:tc>
      </w:tr>
      <w:tr>
        <w:trPr>
          <w:cantSplit/>
        </w:trPr>
        <w:tc>
          <w:tcPr>
            <w:tcW w:type="dxa" w:w="6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M3</w:t>
            </w:r>
          </w:p>
        </w:tc>
        <w:tc>
          <w:tcPr>
            <w:tcW w:type="dxa" w:w="22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NFC 触点资产与载体内容管理</w:t>
            </w:r>
          </w:p>
        </w:tc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touchpoint_assets</w:t>
              <w:br/>
              <w:t>touchpoint_payloads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NFC 资产、卡内内容和外部调用编排</w:t>
            </w:r>
          </w:p>
        </w:tc>
        <w:tc>
          <w:tcPr>
            <w:tcW w:type="dxa" w:w="1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LinkForty API、NFC</w:t>
            </w:r>
          </w:p>
        </w:tc>
      </w:tr>
      <w:tr>
        <w:trPr>
          <w:cantSplit/>
        </w:trPr>
        <w:tc>
          <w:tcPr>
            <w:tcW w:type="dxa" w:w="6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M4</w:t>
            </w:r>
          </w:p>
        </w:tc>
        <w:tc>
          <w:tcPr>
            <w:tcW w:type="dxa" w:w="22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触点载体员工绑定管理</w:t>
            </w:r>
          </w:p>
        </w:tc>
        <w:tc>
          <w:tcPr>
            <w:tcW w:type="dxa" w:w="2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touchpoint_employee_assignments</w:t>
            </w:r>
          </w:p>
        </w:tc>
        <w:tc>
          <w:tcPr>
            <w:tcW w:type="dxa" w:w="2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当前及历史绑定、解绑和责任关系</w:t>
            </w:r>
          </w:p>
        </w:tc>
        <w:tc>
          <w:tcPr>
            <w:tcW w:type="dxa" w:w="1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M2、M3</w:t>
            </w:r>
          </w:p>
        </w:tc>
      </w:tr>
      <w:tr>
        <w:trPr>
          <w:cantSplit/>
        </w:trPr>
        <w:tc>
          <w:tcPr>
            <w:tcW w:type="dxa" w:w="6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M5</w:t>
            </w:r>
          </w:p>
        </w:tc>
        <w:tc>
          <w:tcPr>
            <w:tcW w:type="dxa" w:w="22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访问事件接入与关联管理</w:t>
            </w:r>
          </w:p>
        </w:tc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access_events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事件幂等投影、关联和重试状态</w:t>
            </w:r>
          </w:p>
        </w:tc>
        <w:tc>
          <w:tcPr>
            <w:tcW w:type="dxa" w:w="1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LinkForty 事件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20"/>
              </w:rPr>
              <w:t xml:space="preserve">主要依赖链  </w:t>
            </w:r>
            <w:r>
              <w:rPr>
                <w:rFonts w:ascii="Arial Unicode MS" w:hAnsi="Arial Unicode MS" w:eastAsia="Arial Unicode MS" w:cs="Arial Unicode MS"/>
                <w:color w:val="1F2933"/>
                <w:sz w:val="20"/>
              </w:rPr>
              <w:t>M2 主数据  →  M3 资产与内容  →  M4 员工绑定  →  M5 访问事件；M1 为各管理操作提供横向审计。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20"/>
              </w:rPr>
              <w:t xml:space="preserve">编号规则  </w:t>
            </w:r>
            <w:r>
              <w:rPr>
                <w:rFonts w:ascii="Arial Unicode MS" w:hAnsi="Arial Unicode MS" w:eastAsia="Arial Unicode MS" w:cs="Arial Unicode MS"/>
                <w:color w:val="1F2933"/>
                <w:sz w:val="20"/>
              </w:rPr>
              <w:t>自 V3.1 起，新需求、研发任务和验收项统一使用 M1～M5。任何外部系统或横向能力均不得提前占用新的业务模块编号。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7. M1～M5 模块职责与边界</w:t>
      </w: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7.1 M1 后台访问与操作审计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定位：</w:t>
      </w:r>
      <w:r>
        <w:rPr>
          <w:rFonts w:ascii="Arial Unicode MS" w:hAnsi="Arial Unicode MS" w:eastAsia="Arial Unicode MS" w:cs="Arial Unicode MS"/>
          <w:color w:val="1F2933"/>
          <w:sz w:val="20"/>
        </w:rPr>
        <w:t>形成可信的后台访问上下文，并为员工操作和系统任务提供统一审计记录。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数据所有权：</w:t>
      </w:r>
      <w:r>
        <w:rPr>
          <w:rFonts w:ascii="Arial Unicode MS" w:hAnsi="Arial Unicode MS" w:eastAsia="Arial Unicode MS" w:cs="Arial Unicode MS"/>
          <w:color w:val="1F2933"/>
          <w:sz w:val="20"/>
        </w:rPr>
        <w:t>只拥有 operation_logs；该表只追加，不由其他模块直接修改。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输入：</w:t>
      </w:r>
      <w:r>
        <w:rPr>
          <w:rFonts w:ascii="Arial Unicode MS" w:hAnsi="Arial Unicode MS" w:eastAsia="Arial Unicode MS" w:cs="Arial Unicode MS"/>
          <w:color w:val="1F2933"/>
          <w:sz w:val="20"/>
        </w:rPr>
        <w:t>Casdoor JWT、trace_id、员工和组织上下文、操作类型、对象标识、执行结果及必要的前后值。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输出：</w:t>
      </w:r>
      <w:r>
        <w:rPr>
          <w:rFonts w:ascii="Arial Unicode MS" w:hAnsi="Arial Unicode MS" w:eastAsia="Arial Unicode MS" w:cs="Arial Unicode MS"/>
          <w:color w:val="1F2933"/>
          <w:sz w:val="20"/>
        </w:rPr>
        <w:t>有效的员工访问上下文，以及可按 trace_id、操作员工、对象和时间追踪的审计记录。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负责事项：</w:t>
      </w:r>
      <w:r>
        <w:rPr>
          <w:rFonts w:ascii="Arial Unicode MS" w:hAnsi="Arial Unicode MS" w:eastAsia="Arial Unicode MS" w:cs="Arial Unicode MS"/>
          <w:color w:val="1F2933"/>
          <w:sz w:val="20"/>
        </w:rPr>
        <w:t>校验 JWT 签名、issuer、audience 和过期时间；使用 employee_code 定位启用员工；记录登录、管理、绑定、导入、导出和外部同步等操作。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不负责事项：</w:t>
      </w:r>
      <w:r>
        <w:rPr>
          <w:rFonts w:ascii="Arial Unicode MS" w:hAnsi="Arial Unicode MS" w:eastAsia="Arial Unicode MS" w:cs="Arial Unicode MS"/>
          <w:color w:val="1F2933"/>
          <w:sz w:val="20"/>
        </w:rPr>
        <w:t>不保存本地身份权限投影，不保存密码、Token、密钥或其他敏感凭证，不决定其他业务对象状态。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依赖：</w:t>
      </w:r>
      <w:r>
        <w:rPr>
          <w:rFonts w:ascii="Arial Unicode MS" w:hAnsi="Arial Unicode MS" w:eastAsia="Arial Unicode MS" w:cs="Arial Unicode MS"/>
          <w:color w:val="1F2933"/>
          <w:sz w:val="20"/>
        </w:rPr>
        <w:t>依赖 Casdoor 身份声明以及 M2 的 employees；系统任务允许 employee_id 为空，但必须保留 trace_id。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验收重点：</w:t>
      </w:r>
      <w:r>
        <w:rPr>
          <w:rFonts w:ascii="Arial Unicode MS" w:hAnsi="Arial Unicode MS" w:eastAsia="Arial Unicode MS" w:cs="Arial Unicode MS"/>
          <w:color w:val="1F2933"/>
          <w:sz w:val="20"/>
        </w:rPr>
        <w:t>员工不存在或停用时拒绝访问；关键操作审计完整；失败和部分成功可追踪；敏感凭证不进入日志。</w:t>
      </w: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7.2 M2 组织与员工管理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定位：</w:t>
      </w:r>
      <w:r>
        <w:rPr>
          <w:rFonts w:ascii="Arial Unicode MS" w:hAnsi="Arial Unicode MS" w:eastAsia="Arial Unicode MS" w:cs="Arial Unicode MS"/>
          <w:color w:val="1F2933"/>
          <w:sz w:val="20"/>
        </w:rPr>
        <w:t>维护组织编码层级、员工主数据和员工直接所属组织，为所有模块提供数据责任范围基线。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数据所有权：</w:t>
      </w:r>
      <w:r>
        <w:rPr>
          <w:rFonts w:ascii="Arial Unicode MS" w:hAnsi="Arial Unicode MS" w:eastAsia="Arial Unicode MS" w:cs="Arial Unicode MS"/>
          <w:color w:val="1F2933"/>
          <w:sz w:val="20"/>
        </w:rPr>
        <w:t>拥有 organization_units 和 employees。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输入：</w:t>
      </w:r>
      <w:r>
        <w:rPr>
          <w:rFonts w:ascii="Arial Unicode MS" w:hAnsi="Arial Unicode MS" w:eastAsia="Arial Unicode MS" w:cs="Arial Unicode MS"/>
          <w:color w:val="1F2933"/>
          <w:sz w:val="20"/>
        </w:rPr>
        <w:t>组织编码与名称、状态、区位信息、联系人信息，以及员工编码、姓名、直接所属 org_id 和状态。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输出：</w:t>
      </w:r>
      <w:r>
        <w:rPr>
          <w:rFonts w:ascii="Arial Unicode MS" w:hAnsi="Arial Unicode MS" w:eastAsia="Arial Unicode MS" w:cs="Arial Unicode MS"/>
          <w:color w:val="1F2933"/>
          <w:sz w:val="20"/>
        </w:rPr>
        <w:t>可按 org_code 前缀查询的组织层级、员工主数据、员工直接所属组织和数据范围根节点。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负责事项：</w:t>
      </w:r>
      <w:r>
        <w:rPr>
          <w:rFonts w:ascii="Arial Unicode MS" w:hAnsi="Arial Unicode MS" w:eastAsia="Arial Unicode MS" w:cs="Arial Unicode MS"/>
          <w:color w:val="1F2933"/>
          <w:sz w:val="20"/>
        </w:rPr>
        <w:t>校验 org_code 格式、前缀关系和全局唯一性；维护员工编码唯一性和启停状态；通过 employee_code 对接 Casdoor Claim。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边界：</w:t>
      </w:r>
      <w:r>
        <w:rPr>
          <w:rFonts w:ascii="Arial Unicode MS" w:hAnsi="Arial Unicode MS" w:eastAsia="Arial Unicode MS" w:cs="Arial Unicode MS"/>
          <w:color w:val="1F2933"/>
          <w:sz w:val="20"/>
        </w:rPr>
        <w:t>组织层级只由 org_code 前缀表达，不另设父组织字段或组织层级字段；员工只保存一个直接所属 org_id。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字段归属：</w:t>
      </w:r>
      <w:r>
        <w:rPr>
          <w:rFonts w:ascii="Arial Unicode MS" w:hAnsi="Arial Unicode MS" w:eastAsia="Arial Unicode MS" w:cs="Arial Unicode MS"/>
          <w:color w:val="1F2933"/>
          <w:sz w:val="20"/>
        </w:rPr>
        <w:t>location_code 和 door_no 属于组织信息，不属于触点资产投放位置。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验收重点：</w:t>
      </w:r>
      <w:r>
        <w:rPr>
          <w:rFonts w:ascii="Arial Unicode MS" w:hAnsi="Arial Unicode MS" w:eastAsia="Arial Unicode MS" w:cs="Arial Unicode MS"/>
          <w:color w:val="1F2933"/>
          <w:sz w:val="20"/>
        </w:rPr>
        <w:t>根组织和下级编码规则、组织和员工唯一性、员工启停、直接组织归属、手机号密文与脱敏值、后端范围校验。</w:t>
      </w: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7.3 M3 NFC 触点资产与载体内容管理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定位：</w:t>
      </w:r>
      <w:r>
        <w:rPr>
          <w:rFonts w:ascii="Arial Unicode MS" w:hAnsi="Arial Unicode MS" w:eastAsia="Arial Unicode MS" w:cs="Arial Unicode MS"/>
          <w:color w:val="1F2933"/>
          <w:sz w:val="20"/>
        </w:rPr>
        <w:t>管理 NFC 触点资产、卡内实际写入内容、当前责任范围和 LinkForty 外部逻辑引用。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数据所有权：</w:t>
      </w:r>
      <w:r>
        <w:rPr>
          <w:rFonts w:ascii="Arial Unicode MS" w:hAnsi="Arial Unicode MS" w:eastAsia="Arial Unicode MS" w:cs="Arial Unicode MS"/>
          <w:color w:val="1F2933"/>
          <w:sz w:val="20"/>
        </w:rPr>
        <w:t>拥有 touchpoint_assets 和 touchpoint_payloads。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输入：</w:t>
      </w:r>
      <w:r>
        <w:rPr>
          <w:rFonts w:ascii="Arial Unicode MS" w:hAnsi="Arial Unicode MS" w:eastAsia="Arial Unicode MS" w:cs="Arial Unicode MS"/>
          <w:color w:val="1F2933"/>
          <w:sz w:val="20"/>
        </w:rPr>
        <w:t>asset_code、asset_type、carrier_uid、责任 org_id/employee_id、资产状态，以及 Payload 类型、值、来源、提供方和外部链接标识。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输出：可查询和导入的资产主数据、卡内实际内容、当前责任组织和员工，以及 LinkForty 逻辑引用；外部调用结果作为审计上下文提交 M1。</w:t>
      </w:r>
      <w:r>
        <w:rPr>
          <w:rFonts w:ascii="Arial Unicode MS" w:hAnsi="Arial Unicode MS" w:eastAsia="Arial Unicode MS" w:cs="Arial Unicode MS"/>
          <w:color w:val="1F2933"/>
          <w:sz w:val="20"/>
        </w:rPr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负责事项：</w:t>
      </w:r>
      <w:r>
        <w:rPr>
          <w:rFonts w:ascii="Arial Unicode MS" w:hAnsi="Arial Unicode MS" w:eastAsia="Arial Unicode MS" w:cs="Arial Unicode MS"/>
          <w:color w:val="1F2933"/>
          <w:sz w:val="20"/>
        </w:rPr>
        <w:t>保证 asset_code 全局唯一和非空 carrier_uid 唯一；一期 asset_type 固定为 NFC；维护资产状态和载体内容状态。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边界：</w:t>
      </w:r>
      <w:r>
        <w:rPr>
          <w:rFonts w:ascii="Arial Unicode MS" w:hAnsi="Arial Unicode MS" w:eastAsia="Arial Unicode MS" w:cs="Arial Unicode MS"/>
          <w:color w:val="1F2933"/>
          <w:sz w:val="20"/>
        </w:rPr>
        <w:t>Payload 表示卡内实际写入内容，不代表最终跳转目标；linkforty_link_id 只是 LinkForty 链接逻辑引用；不直接修改外部平台表。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依赖：</w:t>
      </w:r>
      <w:r>
        <w:rPr>
          <w:rFonts w:ascii="Arial Unicode MS" w:hAnsi="Arial Unicode MS" w:eastAsia="Arial Unicode MS" w:cs="Arial Unicode MS"/>
          <w:color w:val="1F2933"/>
          <w:sz w:val="20"/>
        </w:rPr>
        <w:t>依赖 M2 的责任组织和员工；通过 LinkForty API 与 NFC 适配能力完成外部登记、写入或核验。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验收重点：资产编码、物理 UID、NFC 限定、资产和内容状态、责任范围及逻辑引用正确；外部失败和补偿可通过 M1 审计与 trace_id 追踪，不依赖 Payload 同步状态字段。</w:t>
      </w:r>
      <w:r>
        <w:rPr>
          <w:rFonts w:ascii="Arial Unicode MS" w:hAnsi="Arial Unicode MS" w:eastAsia="Arial Unicode MS" w:cs="Arial Unicode MS"/>
          <w:color w:val="1F2933"/>
          <w:sz w:val="20"/>
        </w:rPr>
      </w: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7.4 M4 触点载体员工绑定管理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定位：</w:t>
      </w:r>
      <w:r>
        <w:rPr>
          <w:rFonts w:ascii="Arial Unicode MS" w:hAnsi="Arial Unicode MS" w:eastAsia="Arial Unicode MS" w:cs="Arial Unicode MS"/>
          <w:color w:val="1F2933"/>
          <w:sz w:val="20"/>
        </w:rPr>
        <w:t>以追加历史方式维护触点载体与员工的当前及历史绑定关系。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数据所有权：</w:t>
      </w:r>
      <w:r>
        <w:rPr>
          <w:rFonts w:ascii="Arial Unicode MS" w:hAnsi="Arial Unicode MS" w:eastAsia="Arial Unicode MS" w:cs="Arial Unicode MS"/>
          <w:color w:val="1F2933"/>
          <w:sz w:val="20"/>
        </w:rPr>
        <w:t>拥有 touchpoint_employee_assignments。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输入：</w:t>
      </w:r>
      <w:r>
        <w:rPr>
          <w:rFonts w:ascii="Arial Unicode MS" w:hAnsi="Arial Unicode MS" w:eastAsia="Arial Unicode MS" w:cs="Arial Unicode MS"/>
          <w:color w:val="1F2933"/>
          <w:sz w:val="20"/>
        </w:rPr>
        <w:t>asset_id、org_id、employee_id、生效时间，以及解绑原因码和解绑说明。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输出：</w:t>
      </w:r>
      <w:r>
        <w:rPr>
          <w:rFonts w:ascii="Arial Unicode MS" w:hAnsi="Arial Unicode MS" w:eastAsia="Arial Unicode MS" w:cs="Arial Unicode MS"/>
          <w:color w:val="1F2933"/>
          <w:sz w:val="20"/>
        </w:rPr>
        <w:t>当前有效或已解绑的绑定记录、有效时间区间和解绑原因。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负责事项：</w:t>
      </w:r>
      <w:r>
        <w:rPr>
          <w:rFonts w:ascii="Arial Unicode MS" w:hAnsi="Arial Unicode MS" w:eastAsia="Arial Unicode MS" w:cs="Arial Unicode MS"/>
          <w:color w:val="1F2933"/>
          <w:sz w:val="20"/>
        </w:rPr>
        <w:t>保证同一资产的有效绑定时间区间不重叠；绑定记录只追加，不覆盖历史；解绑时保留失效时间和原因。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边界：</w:t>
      </w:r>
      <w:r>
        <w:rPr>
          <w:rFonts w:ascii="Arial Unicode MS" w:hAnsi="Arial Unicode MS" w:eastAsia="Arial Unicode MS" w:cs="Arial Unicode MS"/>
          <w:color w:val="1F2933"/>
          <w:sz w:val="20"/>
        </w:rPr>
        <w:t>不保存组织、支行或员工名称快照；历史查询展示当前主数据名称，不保证还原绑定发生时的名称。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依赖：</w:t>
      </w:r>
      <w:r>
        <w:rPr>
          <w:rFonts w:ascii="Arial Unicode MS" w:hAnsi="Arial Unicode MS" w:eastAsia="Arial Unicode MS" w:cs="Arial Unicode MS"/>
          <w:color w:val="1F2933"/>
          <w:sz w:val="20"/>
        </w:rPr>
        <w:t>依赖 M2 的组织和员工状态、M3 的资产及其当前责任信息。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验收重点：</w:t>
      </w:r>
      <w:r>
        <w:rPr>
          <w:rFonts w:ascii="Arial Unicode MS" w:hAnsi="Arial Unicode MS" w:eastAsia="Arial Unicode MS" w:cs="Arial Unicode MS"/>
          <w:color w:val="1F2933"/>
          <w:sz w:val="20"/>
        </w:rPr>
        <w:t>有效区间冲突、当前绑定识别、解绑闭环、历史记录保留、跨组织约束和责任信息一致性。</w:t>
      </w: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7.5 M5 访问事件接入与关联管理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定位：</w:t>
      </w:r>
      <w:r>
        <w:rPr>
          <w:rFonts w:ascii="Arial Unicode MS" w:hAnsi="Arial Unicode MS" w:eastAsia="Arial Unicode MS" w:cs="Arial Unicode MS"/>
          <w:color w:val="1F2933"/>
          <w:sz w:val="20"/>
        </w:rPr>
        <w:t>接收 LinkForty 事件并形成银行侧幂等投影，关联触点资产、事件时命中的绑定、组织和员工。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数据所有权：</w:t>
      </w:r>
      <w:r>
        <w:rPr>
          <w:rFonts w:ascii="Arial Unicode MS" w:hAnsi="Arial Unicode MS" w:eastAsia="Arial Unicode MS" w:cs="Arial Unicode MS"/>
          <w:color w:val="1F2933"/>
          <w:sz w:val="20"/>
        </w:rPr>
        <w:t>拥有 access_events。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输入：</w:t>
      </w:r>
      <w:r>
        <w:rPr>
          <w:rFonts w:ascii="Arial Unicode MS" w:hAnsi="Arial Unicode MS" w:eastAsia="Arial Unicode MS" w:cs="Arial Unicode MS"/>
          <w:color w:val="1F2933"/>
          <w:sz w:val="20"/>
        </w:rPr>
        <w:t>event_id、click_id、事件元数据及 LinkForty 逻辑关联信息。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输出：</w:t>
      </w:r>
      <w:r>
        <w:rPr>
          <w:rFonts w:ascii="Arial Unicode MS" w:hAnsi="Arial Unicode MS" w:eastAsia="Arial Unicode MS" w:cs="Arial Unicode MS"/>
          <w:color w:val="1F2933"/>
          <w:sz w:val="20"/>
        </w:rPr>
        <w:t>访问事件记录、asset_id、binding_id、org_id、employee_id、关联状态、原因和完成时间。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负责事项：</w:t>
      </w:r>
      <w:r>
        <w:rPr>
          <w:rFonts w:ascii="Arial Unicode MS" w:hAnsi="Arial Unicode MS" w:eastAsia="Arial Unicode MS" w:cs="Arial Unicode MS"/>
          <w:color w:val="1F2933"/>
          <w:sz w:val="20"/>
        </w:rPr>
        <w:t>event_id 作为全局唯一幂等键；click_id 允许重复且仅作逻辑引用；维护待关联、成功、待重试和失败状态。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边界：</w:t>
      </w:r>
      <w:r>
        <w:rPr>
          <w:rFonts w:ascii="Arial Unicode MS" w:hAnsi="Arial Unicode MS" w:eastAsia="Arial Unicode MS" w:cs="Arial Unicode MS"/>
          <w:color w:val="1F2933"/>
          <w:sz w:val="20"/>
        </w:rPr>
        <w:t>事件状态只表示资产、组织和员工关联；不保存最终跳转目标、运行时规则或目标快照；不直接修改 LinkForty 表。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依赖：</w:t>
      </w:r>
      <w:r>
        <w:rPr>
          <w:rFonts w:ascii="Arial Unicode MS" w:hAnsi="Arial Unicode MS" w:eastAsia="Arial Unicode MS" w:cs="Arial Unicode MS"/>
          <w:color w:val="1F2933"/>
          <w:sz w:val="20"/>
        </w:rPr>
        <w:t>依赖 LinkForty 事件或受限读取、M3 的资产与内容、M4 的事件时点绑定。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验收重点：</w:t>
      </w:r>
      <w:r>
        <w:rPr>
          <w:rFonts w:ascii="Arial Unicode MS" w:hAnsi="Arial Unicode MS" w:eastAsia="Arial Unicode MS" w:cs="Arial Unicode MS"/>
          <w:color w:val="1F2933"/>
          <w:sz w:val="20"/>
        </w:rPr>
        <w:t>缺失或重复 event_id、重复 click_id、关联失败、重试状态、首次 received_at 不更新和外部只读边界。</w:t>
      </w: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8. 外部系统与横向能力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3860"/>
        <w:gridCol w:w="190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3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职责</w:t>
            </w:r>
          </w:p>
        </w:tc>
        <w:tc>
          <w:tcPr>
            <w:tcW w:type="dxa" w:w="1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模块编号规则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Casdoor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外部身份边界</w:t>
            </w:r>
          </w:p>
        </w:tc>
        <w:tc>
          <w:tcPr>
            <w:tcW w:type="dxa" w:w="3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签发 JWT，维护身份、角色和功能权限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不占 M 编号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LinkForty</w:t>
            </w:r>
          </w:p>
        </w:tc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外部触点平台</w:t>
            </w:r>
          </w:p>
        </w:tc>
        <w:tc>
          <w:tcPr>
            <w:tcW w:type="dxa" w:w="3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链接、点击、Webhook 和底层访问能力</w:t>
            </w:r>
          </w:p>
        </w:tc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不占 M 编号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NFC Adapter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设备适配</w:t>
            </w:r>
          </w:p>
        </w:tc>
        <w:tc>
          <w:tcPr>
            <w:tcW w:type="dxa" w:w="3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实体卡写入、读取和核验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不占 M 编号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批量导入</w:t>
            </w:r>
          </w:p>
        </w:tc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横向应用能力</w:t>
            </w:r>
          </w:p>
        </w:tc>
        <w:tc>
          <w:tcPr>
            <w:tcW w:type="dxa" w:w="3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预校验、幂等、逐行结果、明确的更新或新增</w:t>
            </w:r>
          </w:p>
        </w:tc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由 M3、M4 等责任模块执行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操作审计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横向治理能力</w:t>
            </w:r>
          </w:p>
        </w:tc>
        <w:tc>
          <w:tcPr>
            <w:tcW w:type="dxa" w:w="3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所有管理操作和批次均提交审计上下文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数据归属 M1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Worker / Celery</w:t>
            </w:r>
          </w:p>
        </w:tc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异步技术能力</w:t>
            </w:r>
          </w:p>
        </w:tc>
        <w:tc>
          <w:tcPr>
            <w:tcW w:type="dxa" w:w="3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LinkForty 调用重试、事件重试、批量导入和补偿；执行结果由 M1 审计</w:t>
            </w:r>
          </w:p>
        </w:tc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不占 M 编号</w:t>
            </w:r>
          </w:p>
        </w:tc>
      </w:tr>
    </w:tbl>
    <w:p>
      <w:pPr>
        <w:spacing w:before="0" w:after="60"/>
      </w:pP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8.1 批量导入预留规则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预留载体内容批量修改、载体与员工绑定关系批量修改、载体与载体内容关系批量修改三类模板。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组织使用 org_code、员工使用 employee_code、载体优先使用 asset_code，可辅助使用 carrier_uid。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载体内容使用 asset_code 与 payload_type 的组合，或使用明确的内容记录 ID。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匹配到记录则更新；未匹配且必填字段完整则新增；缺少某行不推导删除、停用或解绑。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导入必须支持预校验、幂等键、逐行结果和失败原因；每批导入写入 operation_logs。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V1.3.1 不创建导入批次表和导入明细表，异步导入启用时再扩展模型。</w:t>
      </w: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9. 数据所有权与模块依赖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200"/>
        <w:gridCol w:w="3400"/>
        <w:gridCol w:w="29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数据域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责任模块</w:t>
            </w:r>
          </w:p>
        </w:tc>
        <w:tc>
          <w:tcPr>
            <w:tcW w:type="dxa" w:w="3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主要依赖或使用方</w:t>
            </w:r>
          </w:p>
        </w:tc>
        <w:tc>
          <w:tcPr>
            <w:tcW w:type="dxa" w:w="2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写入边界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操作审计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M1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M2～M5 和系统任务提交上下文</w:t>
            </w:r>
          </w:p>
        </w:tc>
        <w:tc>
          <w:tcPr>
            <w:tcW w:type="dxa" w:w="29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只有 M1 写 operation_logs，记录只追加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组织、员工</w:t>
            </w:r>
          </w:p>
        </w:tc>
        <w:tc>
          <w:tcPr>
            <w:tcW w:type="dxa" w:w="1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M2</w:t>
            </w:r>
          </w:p>
        </w:tc>
        <w:tc>
          <w:tcPr>
            <w:tcW w:type="dxa" w:w="3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M1 认证映射；M3、M4、M5 责任校验</w:t>
            </w:r>
          </w:p>
        </w:tc>
        <w:tc>
          <w:tcPr>
            <w:tcW w:type="dxa" w:w="29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其他模块不得绕过 M2 修改主数据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资产、内容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M3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M4 绑定；M5 事件关联</w:t>
            </w:r>
          </w:p>
        </w:tc>
        <w:tc>
          <w:tcPr>
            <w:tcW w:type="dxa" w:w="29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其他模块通过 M3 规则维护责任信息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绑定历史</w:t>
            </w:r>
          </w:p>
        </w:tc>
        <w:tc>
          <w:tcPr>
            <w:tcW w:type="dxa" w:w="1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M4</w:t>
            </w:r>
          </w:p>
        </w:tc>
        <w:tc>
          <w:tcPr>
            <w:tcW w:type="dxa" w:w="3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M5 事件时点关联</w:t>
            </w:r>
          </w:p>
        </w:tc>
        <w:tc>
          <w:tcPr>
            <w:tcW w:type="dxa" w:w="29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记录只追加，不覆盖历史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访问事件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M5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审计查询或后续只读使用</w:t>
            </w:r>
          </w:p>
        </w:tc>
        <w:tc>
          <w:tcPr>
            <w:tcW w:type="dxa" w:w="29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event_id 唯一，关联状态由 M5 解释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LinkForty 运行数据</w:t>
            </w:r>
          </w:p>
        </w:tc>
        <w:tc>
          <w:tcPr>
            <w:tcW w:type="dxa" w:w="1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LinkForty</w:t>
            </w:r>
          </w:p>
        </w:tc>
        <w:tc>
          <w:tcPr>
            <w:tcW w:type="dxa" w:w="3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M3、M5 通过 API、事件或受限读取使用</w:t>
            </w:r>
          </w:p>
        </w:tc>
        <w:tc>
          <w:tcPr>
            <w:tcW w:type="dxa" w:w="29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银行模块不得直接修改外部表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20"/>
              </w:rPr>
              <w:t xml:space="preserve">协作规则  </w:t>
            </w:r>
            <w:r>
              <w:rPr>
                <w:rFonts w:ascii="Arial Unicode MS" w:hAnsi="Arial Unicode MS" w:eastAsia="Arial Unicode MS" w:cs="Arial Unicode MS"/>
                <w:color w:val="1F2933"/>
                <w:sz w:val="20"/>
              </w:rPr>
              <w:t>跨模块调用可以读取责任模块数据或提交业务命令，但不得改变表的唯一所有者、绕过状态规则或把外部表纳入银行数据库迁移。</w:t>
            </w:r>
          </w:p>
        </w:tc>
      </w:tr>
    </w:tbl>
    <w:p>
      <w:pPr>
        <w:spacing w:after="60"/>
      </w:pP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10. 认证、数据范围与跨系统数据流</w:t>
      </w: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10.1 身份与数据范围</w:t>
      </w:r>
    </w:p>
    <w:p>
      <w:pPr>
        <w:pStyle w:val="14"/>
        <w:numPr>
          <w:ilvl w:val="0"/>
          <w:numId w:val="7"/>
        </w:numPr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Casdoor 完成登录并签发 JWT。</w:t>
      </w:r>
    </w:p>
    <w:p>
      <w:pPr>
        <w:pStyle w:val="14"/>
        <w:numPr>
          <w:ilvl w:val="0"/>
          <w:numId w:val="7"/>
        </w:numPr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后台验证 JWT 签名、issuer、audience 和过期时间。</w:t>
      </w:r>
    </w:p>
    <w:p>
      <w:pPr>
        <w:pStyle w:val="14"/>
        <w:numPr>
          <w:ilvl w:val="0"/>
          <w:numId w:val="7"/>
        </w:numPr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后台从 Token 获取 employee_code，并由 M2 查询 employees。</w:t>
      </w:r>
    </w:p>
    <w:p>
      <w:pPr>
        <w:pStyle w:val="14"/>
        <w:numPr>
          <w:ilvl w:val="0"/>
          <w:numId w:val="7"/>
        </w:numPr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员工不存在或停用时拒绝访问。</w:t>
      </w:r>
    </w:p>
    <w:p>
      <w:pPr>
        <w:pStyle w:val="14"/>
        <w:numPr>
          <w:ilvl w:val="0"/>
          <w:numId w:val="7"/>
        </w:numPr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查询、导出和导入按员工所属 org_id 以及本人 employee_id 执行后端数据范围过滤。</w:t>
      </w: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10.2 资产、内容与 LinkForty</w:t>
      </w:r>
    </w:p>
    <w:p>
      <w:pPr>
        <w:pStyle w:val="14"/>
        <w:numPr>
          <w:ilvl w:val="0"/>
          <w:numId w:val="8"/>
        </w:numPr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M3 维护 NFC 资产、卡内实际内容和当前责任范围。</w:t>
      </w:r>
    </w:p>
    <w:p>
      <w:pPr>
        <w:pStyle w:val="14"/>
        <w:numPr>
          <w:ilvl w:val="0"/>
          <w:numId w:val="8"/>
        </w:numPr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touchpoint_payloads.linkforty_link_id 逻辑引用 LinkForty.links.id。</w:t>
      </w:r>
    </w:p>
    <w:p>
      <w:pPr>
        <w:pStyle w:val="14"/>
        <w:numPr>
          <w:ilvl w:val="0"/>
          <w:numId w:val="8"/>
        </w:numPr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银行后台通过 LinkForty API 执行必要的外部调用；业务表只保存 linkforty_link_id 等必要逻辑引用，执行结果写入 operation_logs 并保留 trace_id。</w:t>
      </w:r>
    </w:p>
    <w:p>
      <w:pPr>
        <w:pStyle w:val="14"/>
        <w:numPr>
          <w:ilvl w:val="0"/>
          <w:numId w:val="8"/>
        </w:numPr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M1 记录管理操作和外部同步结果，不记录密钥或 Token。</w:t>
      </w: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10.3 访问事件关联</w:t>
      </w:r>
    </w:p>
    <w:p>
      <w:pPr>
        <w:pStyle w:val="14"/>
        <w:numPr>
          <w:ilvl w:val="0"/>
          <w:numId w:val="9"/>
        </w:numPr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LinkForty 事件通过 event_id、click_id 和外部链接标识进入银行后台。</w:t>
      </w:r>
    </w:p>
    <w:p>
      <w:pPr>
        <w:pStyle w:val="14"/>
        <w:numPr>
          <w:ilvl w:val="0"/>
          <w:numId w:val="9"/>
        </w:numPr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M5 以 event_id 执行幂等投影，click_id 仅用于逻辑关联。</w:t>
      </w:r>
    </w:p>
    <w:p>
      <w:pPr>
        <w:pStyle w:val="14"/>
        <w:numPr>
          <w:ilvl w:val="0"/>
          <w:numId w:val="9"/>
        </w:numPr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M5 结合 M3 资产与内容、M4 绑定历史确定资产、组织和员工。</w:t>
      </w:r>
    </w:p>
    <w:p>
      <w:pPr>
        <w:pStyle w:val="14"/>
        <w:numPr>
          <w:ilvl w:val="0"/>
          <w:numId w:val="9"/>
        </w:numPr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M5 写入 access_events 的关联状态、原因和完成时间；失败进入待重试或最终失败。</w:t>
      </w: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11. 后端分层和异步任务落点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5560"/>
      </w:tblGrid>
      <w:tr>
        <w:trPr>
          <w:cantSplit/>
          <w:tblHeader w:val="true"/>
        </w:trPr>
        <w:tc>
          <w:tcPr>
            <w:tcW w:type="dxa" w:w="1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层次</w:t>
            </w:r>
          </w:p>
        </w:tc>
        <w:tc>
          <w:tcPr>
            <w:tcW w:type="dxa" w:w="1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职责</w:t>
            </w:r>
          </w:p>
        </w:tc>
        <w:tc>
          <w:tcPr>
            <w:tcW w:type="dxa" w:w="55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V1.3.1 实施约定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Router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协议适配</w:t>
            </w:r>
          </w:p>
        </w:tc>
        <w:tc>
          <w:tcPr>
            <w:tcW w:type="dxa" w:w="5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接收请求、解析认证上下文、返回统一响应；不直接写 SQL 或调用外部系统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Service</w:t>
            </w:r>
          </w:p>
        </w:tc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业务规则</w:t>
            </w:r>
          </w:p>
        </w:tc>
        <w:tc>
          <w:tcPr>
            <w:tcW w:type="dxa" w:w="5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组织编码、数据范围、绑定时间冲突、导入预校验和审计编排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Repository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数据库访问</w:t>
            </w:r>
          </w:p>
        </w:tc>
        <w:tc>
          <w:tcPr>
            <w:tcW w:type="dxa" w:w="5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SQLAlchemy 查询、事务、索引和约束；不承载外部平台业务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Integration Adapter</w:t>
            </w:r>
          </w:p>
        </w:tc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外部调用</w:t>
            </w:r>
          </w:p>
        </w:tc>
        <w:tc>
          <w:tcPr>
            <w:tcW w:type="dxa" w:w="5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Casdoor Claim、LinkForty API、Webhook 和 NFC 适配及重试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Worker / Celery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异步任务</w:t>
            </w:r>
          </w:p>
        </w:tc>
        <w:tc>
          <w:tcPr>
            <w:tcW w:type="dxa" w:w="5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LinkForty 调用重试、事件重试、批量导入和补偿；执行结果由 M1 审计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Alembic</w:t>
            </w:r>
          </w:p>
        </w:tc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数据库演进</w:t>
            </w:r>
          </w:p>
        </w:tc>
        <w:tc>
          <w:tcPr>
            <w:tcW w:type="dxa" w:w="5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只演进银行侧 7 张业务表；禁止修改 LinkForty 平台表</w:t>
            </w:r>
          </w:p>
        </w:tc>
      </w:tr>
    </w:tbl>
    <w:p>
      <w:pPr>
        <w:spacing w:before="0" w:after="60"/>
      </w:pP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12. 两人研发工作包划分</w:t>
      </w:r>
    </w:p>
    <w:p>
      <w:pPr>
        <w:spacing w:line="300" w:lineRule="auto"/>
      </w:pPr>
      <w:r>
        <w:rPr>
          <w:rFonts w:ascii="Arial Unicode MS" w:hAnsi="Arial Unicode MS" w:eastAsia="Arial Unicode MS" w:cs="Arial Unicode MS"/>
          <w:color w:val="1F2933"/>
          <w:sz w:val="21"/>
        </w:rPr>
        <w:t>模块数量保持五个，研发执行按业务依赖和数据表数量组合为两个工作包。工作包是人员分工，不改变模块编号、数据所有权或跨模块写入规则。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300"/>
        <w:gridCol w:w="2700"/>
        <w:gridCol w:w="2400"/>
        <w:gridCol w:w="2060"/>
      </w:tblGrid>
      <w:tr>
        <w:trPr>
          <w:cantSplit/>
          <w:tblHeader w:val="true"/>
        </w:trPr>
        <w:tc>
          <w:tcPr>
            <w:tcW w:type="dxa" w:w="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工作包</w:t>
            </w:r>
          </w:p>
        </w:tc>
        <w:tc>
          <w:tcPr>
            <w:tcW w:type="dxa" w:w="1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负责模块</w:t>
            </w:r>
          </w:p>
        </w:tc>
        <w:tc>
          <w:tcPr>
            <w:tcW w:type="dxa" w:w="2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主要数据表</w:t>
            </w:r>
          </w:p>
        </w:tc>
        <w:tc>
          <w:tcPr>
            <w:tcW w:type="dxa" w:w="2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研发重点</w:t>
            </w:r>
          </w:p>
        </w:tc>
        <w:tc>
          <w:tcPr>
            <w:tcW w:type="dxa" w:w="2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主要交接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A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M1、M2、M4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operation_logs</w:t>
              <w:br/>
              <w:t>organization_units</w:t>
              <w:br/>
              <w:t>employees</w:t>
              <w:br/>
              <w:t>touchpoint_employee_assignments</w:t>
            </w:r>
          </w:p>
        </w:tc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访问上下文、审计、主数据和绑定生命周期</w:t>
            </w:r>
          </w:p>
        </w:tc>
        <w:tc>
          <w:tcPr>
            <w:tcW w:type="dxa" w:w="2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向 B 提供员工/组织校验、绑定和审计上下文</w:t>
            </w:r>
          </w:p>
        </w:tc>
      </w:tr>
      <w:tr>
        <w:trPr>
          <w:cantSplit/>
        </w:trP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B</w:t>
            </w:r>
          </w:p>
        </w:tc>
        <w:tc>
          <w:tcPr>
            <w:tcW w:type="dxa" w:w="1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M3、M5</w:t>
            </w:r>
          </w:p>
        </w:tc>
        <w:tc>
          <w:tcPr>
            <w:tcW w:type="dxa" w:w="2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touchpoint_assets</w:t>
              <w:br/>
              <w:t>touchpoint_payloads</w:t>
              <w:br/>
              <w:t>access_events</w:t>
            </w:r>
          </w:p>
        </w:tc>
        <w:tc>
          <w:tcPr>
            <w:tcW w:type="dxa" w:w="2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NFC 资产内容、LinkForty 集成和访问事件</w:t>
            </w:r>
          </w:p>
        </w:tc>
        <w:tc>
          <w:tcPr>
            <w:tcW w:type="dxa" w:w="20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向 A 提供资产状态、外部逻辑引用和事件反馈</w:t>
            </w:r>
          </w:p>
        </w:tc>
      </w:tr>
    </w:tbl>
    <w:p>
      <w:pPr>
        <w:spacing w:before="0" w:after="60"/>
      </w:pP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12.1 共同冻结的协作契约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身份与范围：employee_code、org_id、employee_id 及停用员工拒绝规则。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资产与绑定：asset_id、employee_id、effective_from、effective_to 和绑定状态。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外部链接：linkforty_link_id 的 UUID 语义和只作为逻辑引用的边界。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事件幂等：event_id 全局唯一，click_id 非唯一。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治理上下文：trace_id、操作对象、执行结果、失败摘要和补偿状态。</w:t>
      </w: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12.2 建议协作节奏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600"/>
        <w:gridCol w:w="2600"/>
        <w:gridCol w:w="2660"/>
      </w:tblGrid>
      <w:tr>
        <w:trPr>
          <w:cantSplit/>
          <w:tblHeader w:val="true"/>
        </w:trPr>
        <w:tc>
          <w:tcPr>
            <w:tcW w:type="dxa" w:w="1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工作包 A</w:t>
            </w:r>
          </w:p>
        </w:tc>
        <w:tc>
          <w:tcPr>
            <w:tcW w:type="dxa" w:w="2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工作包 B</w:t>
            </w:r>
          </w:p>
        </w:tc>
        <w:tc>
          <w:tcPr>
            <w:tcW w:type="dxa" w:w="26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共同验收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第一阶段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M1 审计基础、M2 主数据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M3 资产和载体内容</w:t>
            </w:r>
          </w:p>
        </w:tc>
        <w:tc>
          <w:tcPr>
            <w:tcW w:type="dxa" w:w="2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身份、范围、资产和审计字段契约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第二阶段</w:t>
            </w:r>
          </w:p>
        </w:tc>
        <w:tc>
          <w:tcPr>
            <w:tcW w:type="dxa" w:w="2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M4 绑定生命周期</w:t>
            </w:r>
          </w:p>
        </w:tc>
        <w:tc>
          <w:tcPr>
            <w:tcW w:type="dxa" w:w="2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M5 事件幂等与关联</w:t>
            </w:r>
          </w:p>
        </w:tc>
        <w:tc>
          <w:tcPr>
            <w:tcW w:type="dxa" w:w="2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资产—绑定—事件关联链路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第三阶段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补齐审计和边界检查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补齐外部失败和重试</w:t>
            </w:r>
          </w:p>
        </w:tc>
        <w:tc>
          <w:tcPr>
            <w:tcW w:type="dxa" w:w="2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跨模块权限、幂等、补偿和文档验收</w:t>
            </w:r>
          </w:p>
        </w:tc>
      </w:tr>
    </w:tbl>
    <w:p>
      <w:pPr>
        <w:spacing w:before="0" w:after="60"/>
      </w:pP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13. 旧版编号迁移及物理模型确认</w:t>
      </w: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13.1 旧版编号到新版编号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3860"/>
      </w:tblGrid>
      <w:tr>
        <w:trPr>
          <w:cantSplit/>
          <w:tblHeader w:val="true"/>
        </w:trPr>
        <w:tc>
          <w:tcPr>
            <w:tcW w:type="dxa" w:w="3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旧版模块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新版处理</w:t>
            </w:r>
          </w:p>
        </w:tc>
        <w:tc>
          <w:tcPr>
            <w:tcW w:type="dxa" w:w="3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V1.3.1 依据或清理结果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旧 M1 后台访问、IAM 与操作审计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新 M1 后台访问与操作审计</w:t>
            </w:r>
          </w:p>
        </w:tc>
        <w:tc>
          <w:tcPr>
            <w:tcW w:type="dxa" w:w="3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仅保留外部身份适配与 operation_logs；不创建 iam_* 表</w:t>
            </w:r>
          </w:p>
        </w:tc>
      </w:tr>
      <w:tr>
        <w:trPr>
          <w:cantSplit/>
        </w:trPr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旧 M2 机构与客户经理管理</w:t>
            </w:r>
          </w:p>
        </w:tc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新 M2 组织与员工管理</w:t>
            </w:r>
          </w:p>
        </w:tc>
        <w:tc>
          <w:tcPr>
            <w:tcW w:type="dxa" w:w="3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customer_managers 改为 employees；不使用 parent_org_id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旧 M3 触点载体及载体内容管理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新 M3 NFC 触点资产与载体内容管理</w:t>
            </w:r>
          </w:p>
        </w:tc>
        <w:tc>
          <w:tcPr>
            <w:tcW w:type="dxa" w:w="3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不使用 config_status；资产位置字段不属于 touchpoint_assets</w:t>
            </w:r>
          </w:p>
        </w:tc>
      </w:tr>
      <w:tr>
        <w:trPr>
          <w:cantSplit/>
        </w:trPr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旧 M4 触点载体绑定生命周期</w:t>
            </w:r>
          </w:p>
        </w:tc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新 M4 触点载体员工绑定管理</w:t>
            </w:r>
          </w:p>
        </w:tc>
        <w:tc>
          <w:tcPr>
            <w:tcW w:type="dxa" w:w="3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绑定表改为 touchpoint_employee_assignments；删除名称快照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旧 M5 目标资源管理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V1.3.1 已下线，不分配新编号</w:t>
            </w:r>
          </w:p>
        </w:tc>
        <w:tc>
          <w:tcPr>
            <w:tcW w:type="dxa" w:w="3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不创建 target_resources，也不列为预留业务模块</w:t>
            </w:r>
          </w:p>
        </w:tc>
      </w:tr>
      <w:tr>
        <w:trPr>
          <w:cantSplit/>
        </w:trPr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旧 M6 路由规则配置与发布</w:t>
            </w:r>
          </w:p>
        </w:tc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V1.3.1 已下线，不分配新编号</w:t>
            </w:r>
          </w:p>
        </w:tc>
        <w:tc>
          <w:tcPr>
            <w:tcW w:type="dxa" w:w="3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不创建 routing_rules，不维护路由发布状态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旧 M7 访问事件接入与关联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新 M5 访问事件接入与关联管理</w:t>
            </w:r>
          </w:p>
        </w:tc>
        <w:tc>
          <w:tcPr>
            <w:tcW w:type="dxa" w:w="3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仅关联资产、绑定、组织和员工；event_id 唯一，click_id 非唯一</w:t>
            </w:r>
          </w:p>
        </w:tc>
      </w:tr>
      <w:tr>
        <w:trPr>
          <w:cantSplit/>
        </w:trPr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旧 M8 统计分析</w:t>
            </w:r>
          </w:p>
        </w:tc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不纳入新版业务模块</w:t>
            </w:r>
          </w:p>
        </w:tc>
        <w:tc>
          <w:tcPr>
            <w:tcW w:type="dxa" w:w="3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V1.3.1 物理模型未定义其模块归属或专属本地表</w:t>
            </w:r>
          </w:p>
        </w:tc>
      </w:tr>
    </w:tbl>
    <w:p>
      <w:pPr>
        <w:spacing w:before="0" w:after="60"/>
      </w:pP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13.2 V1.3.1 确认结论</w:t>
      </w:r>
    </w:p>
    <w:p>
      <w:pPr>
        <w:pStyle w:val="16"/>
      </w:pPr>
      <w:r>
        <w:t>字段事实：V1.3 的 touchpoint_payloads 详细字段表原本没有 external_sync_status。</w:t>
      </w:r>
    </w:p>
    <w:p>
      <w:pPr>
        <w:pStyle w:val="16"/>
      </w:pPr>
      <w:r>
        <w:t>系统边界：LinkForty 是外部平台，其运行状态不复制为银行侧业务状态。</w:t>
      </w:r>
    </w:p>
    <w:p>
      <w:pPr>
        <w:pStyle w:val="16"/>
      </w:pPr>
      <w:r>
        <w:t>职责闭环：M3 负责外部调用，Worker 负责重试和补偿，M1 负责结果审计。</w:t>
      </w:r>
    </w:p>
    <w:p>
      <w:pPr>
        <w:pStyle w:val="16"/>
      </w:pPr>
      <w:r>
        <w:t>版本决议：本次确认作为 V1.3.1 物理模型修订结论，并同步到 V3.1。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A97800"/>
                <w:sz w:val="20"/>
              </w:rPr>
              <w:t xml:space="preserve">确认结论  </w:t>
            </w:r>
            <w:r>
              <w:rPr>
                <w:rFonts w:ascii="Arial Unicode MS" w:hAnsi="Arial Unicode MS" w:eastAsia="Arial Unicode MS" w:cs="Arial Unicode MS"/>
                <w:color w:val="1F2933"/>
                <w:sz w:val="20"/>
              </w:rPr>
              <w:t>V1.3.1 明确 touchpoint_payloads 不定义 external_sync_status。M3 负责 LinkForty 调用和外部同步编排，Worker 执行重试与补偿；银行业务表只保存 linkforty_link_id 等必要逻辑引用，成功、失败和补偿结果由 M1 通过 operation_logs 与 trace_id 审计。本次不新增同步时间、错误摘要、重试次数或替代字段。</w:t>
            </w:r>
          </w:p>
        </w:tc>
      </w:tr>
    </w:tbl>
    <w:p>
      <w:pPr>
        <w:spacing w:after="60"/>
      </w:pP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14. V3.1 更新日志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V3.0 / 2026-08-18：业务模块由旧 M1～M8 重整为新 M1～M5，并采用连续编号。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V3.0 / 2026-08-18：删除独立统计分析模块，旧 M8 不转换为新版模块。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V3.0 / 2026-08-18：统一使用 employees 和 touchpoint_employee_assignments。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V3.0 / 2026-08-18：移除本地 IAM、目标资源和路由发布相关模块及数据对象。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V3.0 / 2026-08-18：将旧 M7 访问事件模块重新编号为新 M5。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V3.0 / 2026-08-18：增加工作包 A（M1/M2/M4）和工作包 B（M3/M5），不改变数据所有权。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V3.0 / 2026-08-18：记录 external_sync_status 在 V1.3 中的字段定义不一致，尚未形成字段结论。</w:t>
      </w:r>
    </w:p>
    <w:p>
      <w:pPr>
        <w:pStyle w:val="16"/>
      </w:pPr>
      <w:r>
        <w:rPr>
          <w:rFonts w:ascii="Arial Unicode MS" w:hAnsi="Arial Unicode MS" w:eastAsia="Arial Unicode MS" w:cs="Arial Unicode MS"/>
          <w:color w:val="1F2933"/>
          <w:sz w:val="20"/>
        </w:rPr>
        <w:t>V3.1 / 2026-08-18：依据 V1.3.1 取消本地 external_sync_status；M3 不保存同步状态，外部执行结果由 M1 审计。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20"/>
              </w:rPr>
              <w:t xml:space="preserve">生效说明  </w:t>
            </w:r>
            <w:r>
              <w:rPr>
                <w:rFonts w:ascii="Arial Unicode MS" w:hAnsi="Arial Unicode MS" w:eastAsia="Arial Unicode MS" w:cs="Arial Unicode MS"/>
                <w:color w:val="1F2933"/>
                <w:sz w:val="20"/>
              </w:rPr>
              <w:t>本版生效后，当前业务模块只包括 M1～M5；旧编号仅通过第 13 章追溯。</w:t>
            </w:r>
          </w:p>
        </w:tc>
      </w:tr>
    </w:tbl>
    <w:p>
      <w:pPr>
        <w:spacing w:after="6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3B79D">
    <w:pPr>
      <w:pStyle w:val="24"/>
      <w:spacing w:before="0"/>
      <w:jc w:val="right"/>
    </w:pPr>
    <w:r>
      <w:rPr>
        <w:rFonts w:ascii="Arial Unicode MS" w:hAnsi="Arial Unicode MS" w:eastAsia="Arial Unicode MS" w:cs="Arial Unicode MS"/>
        <w:color w:val="667085"/>
        <w:sz w:val="17"/>
      </w:rPr>
      <w:t xml:space="preserve">2026-08-18  |  V3.1  |  </w:t>
    </w:r>
    <w:r>
      <w:rPr>
        <w:rFonts w:ascii="Arial Unicode MS" w:hAnsi="Arial Unicode MS" w:eastAsia="Arial Unicode MS" w:cs="Arial Unicode MS"/>
        <w:color w:val="667085"/>
        <w:sz w:val="17"/>
      </w:rPr>
      <w:fldChar w:fldCharType="begin"/>
      <w:instrText xml:space="preserve">PAGE</w:instrText>
      <w:fldChar w:fldCharType="end"/>
    </w:r>
    <w:r>
      <w:rPr>
        <w:rFonts w:ascii="Arial Unicode MS" w:hAnsi="Arial Unicode MS" w:eastAsia="Arial Unicode MS" w:cs="Arial Unicode MS"/>
        <w:color w:val="667085"/>
        <w:sz w:val="17"/>
      </w:rPr>
      <w:t xml:space="preserve"> / </w:t>
    </w:r>
    <w:r>
      <w:rPr>
        <w:rFonts w:ascii="Arial Unicode MS" w:hAnsi="Arial Unicode MS" w:eastAsia="Arial Unicode MS" w:cs="Arial Unicode MS"/>
        <w:color w:val="667085"/>
        <w:sz w:val="17"/>
      </w:rPr>
      <w:fldChar w:fldCharType="begin"/>
      <w:instrText xml:space="preserve">NUMPAGES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0A9F7D">
    <w:pPr>
      <w:pStyle w:val="25"/>
      <w:spacing w:after="0"/>
      <w:jc w:val="left"/>
    </w:pPr>
    <w:r>
      <w:rPr>
        <w:rFonts w:ascii="Arial Unicode MS" w:hAnsi="Arial Unicode MS" w:eastAsia="Arial Unicode MS" w:cs="Arial Unicode MS"/>
        <w:color w:val="667085"/>
        <w:sz w:val="17"/>
      </w:rPr>
      <w:t>银行触点载体管理系统  /  V1.3.1 模块划分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EFEDFF"/>
    <w:rsid w:val="6FFF98D6"/>
    <w:rsid w:val="772FE260"/>
    <w:rsid w:val="77631969"/>
    <w:rsid w:val="7F4E5482"/>
    <w:rsid w:val="B84A7149"/>
    <w:rsid w:val="BB5F3A5C"/>
    <w:rsid w:val="EFFFE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 w:before="0"/>
    </w:pPr>
    <w:rPr>
      <w:rFonts w:hint="eastAsia" w:ascii="Arial Unicode MS" w:hAnsi="Arial Unicode MS" w:eastAsia="Arial Unicode MS" w:cs="Arial Unicode MS"/>
      <w:b w:val="0"/>
      <w:color w:val="1F29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hint="eastAsia" w:asciiTheme="majorHAnsi" w:hAnsiTheme="majorHAnsi" w:eastAsiaTheme="majorEastAsia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hint="eastAsia" w:asciiTheme="majorHAnsi" w:hAnsiTheme="majorHAnsi" w:eastAsiaTheme="majorEastAsia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hint="eastAsia" w:asciiTheme="majorHAnsi" w:hAnsiTheme="majorHAnsi" w:eastAsiaTheme="majorEastAsia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293" w:lineRule="auto"/>
      <w:contextualSpacing/>
    </w:pPr>
    <w:rPr>
      <w:rFonts w:hint="eastAsia" w:ascii="Arial Unicode MS" w:hAnsi="Arial Unicode MS" w:eastAsia="Arial Unicode MS" w:cs="Arial Unicode MS"/>
      <w:b w:val="0"/>
      <w:color w:val="1F2933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293" w:lineRule="auto"/>
      <w:contextualSpacing/>
    </w:pPr>
    <w:rPr>
      <w:rFonts w:hint="eastAsia" w:ascii="Arial Unicode MS" w:hAnsi="Arial Unicode MS" w:eastAsia="Arial Unicode MS" w:cs="Arial Unicode MS"/>
      <w:b w:val="0"/>
      <w:color w:val="1F2933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pacing w:after="80" w:line="293" w:lineRule="auto"/>
      <w:contextualSpacing/>
    </w:pPr>
    <w:rPr>
      <w:rFonts w:hint="eastAsia" w:ascii="Arial Unicode MS" w:hAnsi="Arial Unicode MS" w:eastAsia="Arial Unicode MS" w:cs="Arial Unicode MS"/>
      <w:b w:val="0"/>
      <w:color w:val="1F2933"/>
      <w:sz w:val="20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2013-12-25T23:15:00Z</dcterms:created>
  <dc:creator>银行触点载体管理系统项目组</dc:creator>
  <dc:description>V3.0 有效业务模块为 M1-M5；V2.2 仅作为版式和迁移编号参考。</dc:description>
  <cp:keywords>NFC, 银行触点载体, V1.3, M1-M5, LinkForty, Casdoor</cp:keywords>
  <cp:lastModifiedBy>诗酒趁年华</cp:lastModifiedBy>
  <dcterms:modified xsi:type="dcterms:W3CDTF">2026-08-07T09:50:13Z</dcterms:modified>
  <dc:subject>基于 V1.3.1 物理模型的 M1～M5 模块划分</dc:subject>
  <dc:title>银行触点载体管理系统 MVP 功能模块划分分析方案 V3.1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B586186D3858B12E2533756A41EEFC5A_43</vt:lpwstr>
  </property>
</Properties>
</file>