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Planeación nacional y participación ciudadana en Colombia</w:t>
      </w:r>
    </w:p>
    <w:p>
      <w:r>
        <w:t>La planeación participativa debe conectar las necesidades cotidianas con decisiones públicas que tengan responsables, recursos y seguimiento. Para Colombia, la arquitectura más defendible combina recepción abierta de aportes, búsqueda activa de poblaciones ausentes, deliberación informada y decisiones institucionales trazables. Las comunidades pequeñas requieren protección durante todo ese recorrido: poder hablar, ser entendidas, entrar a la agenda y verificar qué ocurrió con su necesidad.</w:t>
      </w:r>
    </w:p>
    <w:p>
      <w:r>
        <w:t>Este informe desarrolla la estructura del Plan Nacional de Desarrollo, su articulación territorial y presupuestal, los mecanismos ciudadanos existentes y un diseño para capturar y priorizar propuestas. Después somete un primer modelo a objeciones y pruebas de escritorio, y formula una versión refinada. Las reglas propuestas son recomendaciones de diseño; no describen un mecanismo nacional ya establecido ni sustituyen las competencias legales.</w:t>
      </w:r>
    </w:p>
    <w:p>
      <w:r>
        <w:t>El caso documental principal es el PND 2022–2026. Para el ciclo siguiente, un comunicado del DNP del 28 de agosto de 2026 confirma trabajos de estructuración y advierte que un insumo preliminar divulgado no constituía lineamientos definitivos del PND 2026–2030. Por ello, las transformaciones del plan anterior sirven como ejemplo de estructura, no como clasificación obligatoria del siguiente. La referencia temporal del análisis es septiembre de 2026.</w:t>
      </w:r>
      <w:r>
        <w:rPr>
          <w:vertAlign w:val="superscript"/>
        </w:rPr>
        <w:footnoteReference w:id="1"/>
      </w:r>
    </w:p>
    <w:p>
      <w:pPr>
        <w:pStyle w:val="Heading1"/>
      </w:pPr>
      <w:r>
        <w:t>1 Cómo está construido el Plan Nacional de Desarrollo</w:t>
      </w:r>
    </w:p>
    <w:p>
      <w:pPr>
        <w:pStyle w:val="Heading2"/>
      </w:pPr>
      <w:r>
        <w:t>1.1 Estructura jurídica y función política</w:t>
      </w:r>
    </w:p>
    <w:p>
      <w:r>
        <w:t>En Colombia, el nombre institucional es Plan Nacional de Desarrollo, o PND. La Constitución establece una parte general y un plan de inversiones de las entidades públicas nacionales. La primera contiene objetivos, prioridades y orientaciones; el segundo proyecta programas, proyectos y recursos plurianuales dentro de un marco de sostenibilidad fiscal. También reconoce planeación territorial concertada y autonomía territorial, y dispone el Consejo Nacional de Planeación y los consejos territoriales como componentes del sistema de planeación.</w:t>
      </w:r>
      <w:r>
        <w:rPr>
          <w:vertAlign w:val="superscript"/>
        </w:rPr>
        <w:footnoteReference w:id="2"/>
      </w:r>
    </w:p>
    <w:p>
      <w:r>
        <w:t>Conviene leer el plan en tres registros. El estratégico explica qué resultados busca el gobierno y por qué. El financiero plantea con qué recursos y mediante qué inversiones pretende avanzar. El normativo introduce instrumentos legales para ejecutar el plan. Esa lectura evita interpretar una aspiración amplia como una obra contratada o una fuente de financiación como dinero disponible sin condiciones.</w:t>
      </w:r>
    </w:p>
    <w:p>
      <w:r>
        <w:t>En el PND 2022–2026, la Ley 2294 incorporó las Bases y sus anexos como parte integral del plan. Su organización incluye cinco transformaciones: ordenamiento del territorio alrededor del agua; seguridad humana y justicia social; derecho humano a la alimentación; transformación productiva, internacionalización y acción climática; y convergencia regional.</w:t>
      </w:r>
      <w:r>
        <w:rPr>
          <w:vertAlign w:val="superscript"/>
        </w:rPr>
        <w:footnoteReference w:id="3"/>
      </w:r>
    </w:p>
    <w:p>
      <w:r>
        <w:t>La desagregación operativa puede representarse como objetivos estratégicos → resultados esperados → programas e intervenciones → productos y proyectos → actividades. Sin embargo, esa secuencia es una síntesis analítica: las denominaciones y la profundidad de los capítulos cambian entre planes. Un proyecto puede contribuir a varios resultados y una prioridad puede necesitar varias entidades y fuentes de financiación.</w:t>
      </w:r>
    </w:p>
    <w:p>
      <w:pPr>
        <w:pStyle w:val="Heading2"/>
      </w:pPr>
      <w:r>
        <w:t>1.2 Cómo se formula y aprueba</w:t>
      </w:r>
    </w:p>
    <w:p>
      <w:r>
        <w:t>La Ley 152 de 1994 organiza el procedimiento. El Ejecutivo formula con coordinación del DNP y articulación institucional. El proyecto llega al Consejo Nacional de Planeación a más tardar el 15 de noviembre; su concepto y recomendaciones deben emitirse antes del 10 de enero. Después de los ajustes, el Gobierno lo presenta al Congreso antes del 7 de febrero. El trámite contempla 45 días para el primer debate conjunto de comisiones económicas y 45 para las plenarias. Modificar inversiones exige preservar el equilibrio financiero y, en los supuestos legales, aprobación escrita del Gobierno por Hacienda. En el ámbito territorial, el proyecto se presenta al CTP dentro de los dos primeros meses desde la posesión; el consejo dispone de un mes para conceptuar. El plan se somete a asamblea o concejo dentro de los primeros cuatro meses del período, y la corporación dispone de un mes para decidir.</w:t>
      </w:r>
      <w:r>
        <w:rPr>
          <w:vertAlign w:val="superscript"/>
        </w:rPr>
        <w:footnoteReference w:id="4"/>
      </w:r>
    </w:p>
    <w:p>
      <w:r>
        <w:t>El calendario obliga a anticipar la escucha. Una convocatoria que recibe miles de aportes cuando el texto está prácticamente cerrado reduce las posibilidades de convertirlos en diagnósticos, alternativas y decisiones financiables. La recomendación operativa es mantener un registro permanente, con cortes anunciados para cada ciclo de formulación, presupuesto y evaluación.</w:t>
      </w:r>
    </w:p>
    <w:p>
      <w:r>
        <w:t>El Sistema Nacional de Planeación articula al Consejo Nacional de Planeación, CNP, y los Consejos Territoriales de Planeación, CTP. El DNP brinda apoyo al CNP; estos espacios conectan voces territoriales y sectoriales con la discusión de los planes.</w:t>
      </w:r>
      <w:r>
        <w:rPr>
          <w:vertAlign w:val="superscript"/>
        </w:rPr>
        <w:footnoteReference w:id="5"/>
      </w:r>
      <w:r>
        <w:t xml:space="preserve"> Conviene integrarlos desde el diagnóstico, acompañados de espacios abiertos para personas no organizadas.</w:t>
      </w:r>
    </w:p>
    <w:p>
      <w:r>
        <w:t>El concepto de un consejo de planeación no equivale a una aprobación del gasto ni obliga a incorporar cada recomendación. El DNP explica que escuchar el concepto es distinto de adoptar su contenido y recomienda justificar las decisiones sobre las recomendaciones.</w:t>
      </w:r>
      <w:r>
        <w:rPr>
          <w:vertAlign w:val="superscript"/>
        </w:rPr>
        <w:footnoteReference w:id="6"/>
      </w:r>
      <w:r>
        <w:t xml:space="preserve"> Por tanto, un diseño participativo debe declarar qué puede decidir la ciudadanía y qué será una recomendación que la autoridad deberá examinar.</w:t>
      </w:r>
    </w:p>
    <w:p>
      <w:pPr>
        <w:pStyle w:val="Heading2"/>
      </w:pPr>
      <w:r>
        <w:t>1.3 Cómo llega a la ejecución</w:t>
      </w:r>
    </w:p>
    <w:p>
      <w:r>
        <w:t>El plan necesita instrumentos de programación y presupuesto. La guía del DNP sobre el plan indicativo lo relaciona con metas del período, el Plan Operativo Anual de Inversiones, POAI, y el presupuesto anual. Estos últimos concretan la programación de cada vigencia.</w:t>
      </w:r>
      <w:r>
        <w:rPr>
          <w:vertAlign w:val="superscript"/>
        </w:rPr>
        <w:footnoteReference w:id="7"/>
      </w:r>
      <w:r>
        <w:t xml:space="preserve"> La lectura ciudadana debe distinguir compromisos de cuatro años, programación anual y ejecución efectiva.</w:t>
      </w:r>
    </w:p>
    <w:p>
      <w:r>
        <w:t>La Metodología General Ajustada, MGA, se utiliza para formular proyectos de inversión pública. Ayuda a convertir problemas y alternativas en intervenciones estructuradas.</w:t>
      </w:r>
      <w:r>
        <w:rPr>
          <w:vertAlign w:val="superscript"/>
        </w:rPr>
        <w:footnoteReference w:id="8"/>
      </w:r>
      <w:r>
        <w:t xml:space="preserve"> La persona que propone una idea no debería tener que dominarla: corresponde al equipo público traducir la necesidad, estudiar alternativas y construir la formulación técnica con la comunidad.</w:t>
      </w:r>
    </w:p>
    <w:p>
      <w:r>
        <w:t>La cadena de valor que emplea el DNP relaciona insumos, actividades, productos, resultados e impactos.</w:t>
      </w:r>
      <w:r>
        <w:rPr>
          <w:vertAlign w:val="superscript"/>
        </w:rPr>
        <w:footnoteReference w:id="9"/>
      </w:r>
      <w:r>
        <w:t xml:space="preserve"> Ejemplo analítico: recursos y personal permiten instalar y operar un sistema de agua; el producto es el servicio entregado; el resultado debe observarse en acceso, continuidad y calidad. Contar instalaciones no demuestra por sí solo que disminuyeron las enfermedades ni que todos los hogares reciben agua.</w:t>
      </w:r>
    </w:p>
    <w:p>
      <w:r>
        <w:t>Una trazabilidad útil separa al menos seis hechos: la necesidad fue reconocida; la intervención entró al plan; el proyecto fue estructurado; recibió financiación; se ejecutó; produjo el resultado esperado. Un tablero que llama a todos estos hechos «cumplimiento» puede dar una imagen engañosa de avance.</w:t>
      </w:r>
    </w:p>
    <w:p>
      <w:pPr>
        <w:pStyle w:val="Heading1"/>
      </w:pPr>
      <w:r>
        <w:t>2 Cómo se desagrega el sistema de planeación</w:t>
      </w:r>
    </w:p>
    <w:p>
      <w:pPr>
        <w:pStyle w:val="Heading2"/>
      </w:pPr>
      <w:r>
        <w:t>2.1 Cinco dimensiones que deben conectarse</w:t>
      </w:r>
    </w:p>
    <w:p>
      <w:r>
        <w:t>La planeación debe leerse simultáneamente por territorio, sector, población, instrumento y tiempo. Organizarla exclusivamente por departamentos pierde problemas de cuencas, movilidad y pueblos distribuidos entre territorios. Organizarla solo por ministerios fragmenta necesidades que exigen salud, transporte, educación y cuidado al mismo tiempo.</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Dimensión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Desagregación útil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Información que preserva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Territorial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Barrio, vereda, comuna o corregimiento cuando aplique; municipio o distrito; departamento; ámbitos interterritoriales; Nación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Lugar de la necesidad y escala de solución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Sectorial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Agua, salud, educación, movilidad, ambiente, cultura y otros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Entidades y capacidades relacionadas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Poblacional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Edades, discapacidad, ruralidad, pertenencia étnica, condiciones de cuidado y otras situaciones pertinentes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Barreras distintas dentro de un mismo lugar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Instrumental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Plan, política, programa, proyecto, regulación, gestión y presupuesto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Tipo de decisión que hace falta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Temporal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Urgencia, programación anual, período de gobierno y largo plazo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Momento para decidir, ejecutar y evaluar</w:t>
            </w:r>
          </w:p>
        </w:tc>
      </w:tr>
    </w:tbl>
    <w:p>
      <w:pPr>
        <w:spacing w:after="0"/>
      </w:pPr>
    </w:p>
    <w:p>
      <w:r>
        <w:t>Esta tabla es un modelo de organización de la información, no una enumeración de niveles con idénticas competencias. Barrios y veredas son contextos de participación; no deben suponerse gobiernos con presupuesto propio. La organización de comunas, localidades, corregimientos, territorios étnicos y esquemas regionales exige reconocer las reglas aplicables a cada lugar.</w:t>
      </w:r>
    </w:p>
    <w:p>
      <w:pPr>
        <w:pStyle w:val="Heading2"/>
      </w:pPr>
      <w:r>
        <w:t>2.2 Instrumentos que no conviene confundir</w:t>
      </w:r>
    </w:p>
    <w:p>
      <w:r>
        <w:t>El plan de desarrollo orienta prioridades y acciones de gobierno. El Plan de Ordenamiento Territorial, POT, y sus modalidades ordenan el desarrollo físico y la utilización del suelo; están sujetos a determinantes, incluidas las ambientales y de riesgo.</w:t>
      </w:r>
      <w:r>
        <w:rPr>
          <w:vertAlign w:val="superscript"/>
        </w:rPr>
        <w:footnoteReference w:id="10"/>
      </w:r>
      <w:r>
        <w:t xml:space="preserve"> Priorizar una obra en un plan de desarrollo no permite ignorar esas condiciones ni modifica por sí mismo el uso del suelo.</w:t>
      </w:r>
    </w:p>
    <w:p>
      <w:r>
        <w:t>El Sistema General de Regalías, SGR, tiene reglas específicas. El artículo 30 de la Ley 2056 exige ejercicios participativos de planeación e incorporación de las inversiones correspondientes en un capítulo independiente del plan territorial.</w:t>
      </w:r>
      <w:r>
        <w:rPr>
          <w:vertAlign w:val="superscript"/>
        </w:rPr>
        <w:footnoteReference w:id="11"/>
      </w:r>
      <w:r>
        <w:t xml:space="preserve"> Una idea relacionada con regalías necesita recorrer esa ruta y las etapas de proyecto aplicables; recibir apoyos digitales no satisface esos requisitos.</w:t>
      </w:r>
    </w:p>
    <w:p>
      <w:r>
        <w:t>El presupuesto también tiene condiciones propias. El Estatuto Orgánico del Presupuesto exige, para programas o proyectos del Presupuesto General de la Nación, evaluación por el órgano competente y registro antes de su ejecución en los términos del artículo 68.</w:t>
      </w:r>
      <w:r>
        <w:rPr>
          <w:vertAlign w:val="superscript"/>
        </w:rPr>
        <w:footnoteReference w:id="12"/>
      </w:r>
      <w:r>
        <w:t xml:space="preserve"> En cada entidad hay que verificar además la fuente, disponibilidad, destinación y procedimiento aplicable.</w:t>
      </w:r>
    </w:p>
    <w:p>
      <w:r>
        <w:t>Una propuesta de cambio legal tampoco pertenece necesariamente al articulado del PND. La Corte Constitucional ha exigido una conexión instrumental directa e inmediata entre disposiciones de ejecución y los contenidos pertinentes del plan; la Sentencia C-117 de 2024 ilustra ese control.</w:t>
      </w:r>
      <w:r>
        <w:rPr>
          <w:vertAlign w:val="superscript"/>
        </w:rPr>
        <w:footnoteReference w:id="13"/>
      </w:r>
      <w:r>
        <w:t xml:space="preserve"> Una reforma valiosa puede necesitar una ley ordinaria o un instrumento distinto.</w:t>
      </w:r>
    </w:p>
    <w:p>
      <w:pPr>
        <w:pStyle w:val="Heading2"/>
      </w:pPr>
      <w:r>
        <w:t>2.3 Qué debería escalar a cada nivel</w:t>
      </w:r>
    </w:p>
    <w:p>
      <w:r>
        <w:t>La regla propuesta es dirigir cada necesidad al nivel competente más cercano que pueda resolverla, y elevarla cuando requiera coordinación, financiación complementaria, regulación o redistribución de otra escala. «Escalar» significa conseguir esa capacidad adicional. La Nación también puede conocer patrones locales sin asumir su ejecución directa.</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Necesidad de ejemplo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Primera ruta por verificar</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Motivo para escalar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Luminaria averiada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Prestador y autoridad local correspondiente</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Falla recurrente que requiere programa o inversión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Transporte hacia un servicio de salud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Autoridades y actores sectoriales competentes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Cobertura intermunicipal o barrera de financiación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Agua en una vereda dispersa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Municipio, prestador y autoridades relacionadas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Asistencia, cofinanciación o ajuste de un esquema nacional</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Contaminación de una cuenca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Autoridades ambientales y territorios involucrados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Efectos que atraviesan límites administrativos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Barreras para una población poco numerosa en varios departamentos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Entidades sectoriales competentes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Estándar nacional o mecanismo de redistribución</w:t>
            </w:r>
          </w:p>
        </w:tc>
      </w:tr>
    </w:tbl>
    <w:p>
      <w:pPr>
        <w:spacing w:after="0"/>
      </w:pPr>
    </w:p>
    <w:p>
      <w:r>
        <w:t>Las rutas son orientativas: asignar responsabilidad requiere comprobar la competencia concreta, la organización del servicio y las fuentes disponibles. La dificultad económica de una alcaldía no convierte automáticamente al DNP en ejecutor, y una entidad remitente no debería cerrar el caso hasta que exista recepción comprobable en el destino.</w:t>
      </w:r>
    </w:p>
    <w:p>
      <w:pPr>
        <w:pStyle w:val="Heading1"/>
      </w:pPr>
      <w:r>
        <w:t>3 Dónde puede participar una persona hoy</w:t>
      </w:r>
    </w:p>
    <w:p>
      <w:r>
        <w:t>Existen canales con efectos diferentes. La Ley 1757 regula mecanismos de participación democrática y reconoce el presupuesto participativo como proceso de programación y vigilancia de recursos en articulación con los planes de desarrollo. Sus artículos 90–93 no crean una votación nacional única sobre todo el gasto público ni un porcentaje uniforme para todos los municipios.</w:t>
      </w:r>
      <w:r>
        <w:rPr>
          <w:vertAlign w:val="superscript"/>
        </w:rPr>
        <w:footnoteReference w:id="14"/>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Momento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Canal ciudadano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Resultado que puede buscar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Diagnóstico y formulación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Encuentros, consultas, mesas territoriales y sectoriales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Que se reconozcan necesidades y alternativas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Discusión del proyecto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CNP, CTP y espacios de corporaciones públicas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Recomendaciones, observaciones y cambios al contenido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Programación de recursos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Presupuesto participativo donde esté establecido y ejercicios del SGR</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Priorizar inversiones dentro del alcance autorizado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Ejecución y evaluación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Rendición de cuentas, seguimiento comunitario y control social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Verificar compromisos, recursos y resultados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Necesidad individual o solicitud concreta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Atención ciudadana y petición ante la entidad competente</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Respuesta o actuación por la vía correspondiente</w:t>
            </w:r>
          </w:p>
        </w:tc>
      </w:tr>
    </w:tbl>
    <w:p>
      <w:pPr>
        <w:spacing w:after="0"/>
      </w:pPr>
    </w:p>
    <w:p>
      <w:r>
        <w:t>Las veedurías reguladas por la Ley 850 permiten vigilar gestión y recursos públicos en distintos niveles.</w:t>
      </w:r>
      <w:r>
        <w:rPr>
          <w:vertAlign w:val="superscript"/>
        </w:rPr>
        <w:footnoteReference w:id="15"/>
      </w:r>
      <w:r>
        <w:t xml:space="preserve"> No es necesario esperar a que termine una obra para observar contratos, cobertura y calidad. Para el diseño propuesto, la persona debe poder seguir participando después de la selección de proyectos, cuando se decide si el servicio funciona y a quién está llegando.</w:t>
      </w:r>
    </w:p>
    <w:p>
      <w:r>
        <w:t>La consulta previa de pueblos étnicos tiene un fundamento y unos requisitos propios. La Sentencia SU-123 de 2018 relaciona su procedencia con la afectación directa a las condiciones sociales, económicas, ambientales o culturales de la comunidad.</w:t>
      </w:r>
      <w:r>
        <w:rPr>
          <w:vertAlign w:val="superscript"/>
        </w:rPr>
        <w:footnoteReference w:id="16"/>
      </w:r>
      <w:r>
        <w:t xml:space="preserve"> Un formulario general, un panel ciudadano o una votación no la sustituyen; tampoco existe un veto universal de cualquier grupo autodenominado minoritario. La ruta aplicable se determina según el caso y el estándar jurídico correspondiente.</w:t>
      </w:r>
    </w:p>
    <w:p>
      <w:pPr>
        <w:pStyle w:val="Heading1"/>
      </w:pPr>
      <w:r>
        <w:t>4 Qué enseñan las experiencias documentadas</w:t>
      </w:r>
    </w:p>
    <w:p>
      <w:pPr>
        <w:pStyle w:val="Heading2"/>
      </w:pPr>
      <w:r>
        <w:t>4.1 Colombia y la diferencia entre escuchar e incidir</w:t>
      </w:r>
    </w:p>
    <w:p>
      <w:r>
        <w:t>El DNP reportó 51 Diálogos Regionales Vinculantes, cerca de 250.000 participantes y 89.788 propuestas para la construcción del PND 2022–2026.</w:t>
      </w:r>
      <w:r>
        <w:rPr>
          <w:vertAlign w:val="superscript"/>
        </w:rPr>
        <w:footnoteReference w:id="17"/>
      </w:r>
      <w:r>
        <w:t xml:space="preserve"> Son cifras de convocatoria y recepción reportadas por la entidad, no una medición de representatividad ni de ejecución. Tampoco deben confundirse con las proposiciones de otras etapas del trámite.</w:t>
      </w:r>
    </w:p>
    <w:p>
      <w:r>
        <w:t>En junio de 2023, el DNP anunció la publicación de bases de retos y propuestas recibidas.</w:t>
      </w:r>
      <w:r>
        <w:rPr>
          <w:vertAlign w:val="superscript"/>
        </w:rPr>
        <w:footnoteReference w:id="18"/>
      </w:r>
      <w:r>
        <w:t xml:space="preserve"> La disponibilidad de aportes facilita examinar la agenda territorial. Sin embargo, una base de propuestas por sí sola no acredita una relación completa entre cada aporte, el texto aprobado, un proyecto financiado y el resultado para su población. La pregunta evaluativa adecuada es qué cambió y para quién, además de cuántas personas participaron.</w:t>
      </w:r>
    </w:p>
    <w:p>
      <w:r>
        <w:t>Los PDET ofrecen un antecedente de construcción ascendente. El manual de la Agencia de Renovación del Territorio describe momentos veredal, municipal y subregional, con pactos y planes relacionados, y distingue iniciativas que requieren gestión de aquellas que necesitan formulación de proyectos.</w:t>
      </w:r>
      <w:r>
        <w:rPr>
          <w:vertAlign w:val="superscript"/>
        </w:rPr>
        <w:footnoteReference w:id="19"/>
      </w:r>
      <w:r>
        <w:t xml:space="preserve"> La lección transferible es conservar el origen comunitario y clasificar el tipo de respuesta. Su régimen especial no puede trasladarse automáticamente a todo el país.</w:t>
      </w:r>
    </w:p>
    <w:p>
      <w:r>
        <w:t>Medellín muestra una forma de acotar el espacio de decisión. En las reglas divulgadas para 2024, la Alcaldía describió la priorización del 5 % de recursos de libre inversión, distribuido entre comunas y corregimientos mediante criterios de población y condiciones de vida, con votación y ejecución posterior.</w:t>
      </w:r>
      <w:r>
        <w:rPr>
          <w:vertAlign w:val="superscript"/>
        </w:rPr>
        <w:footnoteReference w:id="20"/>
      </w:r>
      <w:r>
        <w:t xml:space="preserve"> La lección es decidir dentro de techos territoriales y etapas reconocibles. Ese porcentaje es un ejemplo local fechado, no una regla nacional ni una recomendación de porcentaje óptimo.</w:t>
      </w:r>
    </w:p>
    <w:p>
      <w:pPr>
        <w:pStyle w:val="Heading2"/>
      </w:pPr>
      <w:r>
        <w:t>4.2 Comparación internacional y límites</w:t>
      </w:r>
    </w:p>
    <w:p>
      <w:r>
        <w:t>Brasil combinó plataforma y plenarias territoriales para el PPA 2024–2027. Un balance oficial de julio de 2023 reportó millones de accesos y aproximadamente 1,5 millones de votos.</w:t>
      </w:r>
      <w:r>
        <w:rPr>
          <w:vertAlign w:val="superscript"/>
        </w:rPr>
        <w:footnoteReference w:id="21"/>
      </w:r>
      <w:r>
        <w:t xml:space="preserve"> El caso demuestra capacidad para organizar participación a gran escala. Accesos, votos, propuestas y personas únicas son unidades diferentes; ninguna permite inferir automáticamente qué quiere toda la población.</w:t>
      </w:r>
    </w:p>
    <w:p>
      <w:r>
        <w:t>Irlanda utilizó 99 miembros ciudadanos y una presidencia en su asamblea 2016–2018. Su archivo oficial describe reclutamiento con criterios demográficos y registra siete incorporaciones que no cumplieron la metodología acordada.</w:t>
      </w:r>
      <w:r>
        <w:rPr>
          <w:vertAlign w:val="superscript"/>
        </w:rPr>
        <w:footnoteReference w:id="22"/>
      </w:r>
      <w:r>
        <w:t xml:space="preserve"> El aprendizaje incluye la utilidad de grupos deliberativos y la necesidad de auditar reclutamientos y reemplazos. La selección inicial no protege por sí sola contra deserción o fallas de implementación.</w:t>
      </w:r>
    </w:p>
    <w:p>
      <w:r>
        <w:t>La OCDE sistematizó cerca de 300 experiencias deliberativas y propuso principios como claridad de mandato, selección que refleje la diversidad, transparencia y condiciones materiales de inclusión.</w:t>
      </w:r>
      <w:r>
        <w:rPr>
          <w:vertAlign w:val="superscript"/>
        </w:rPr>
        <w:footnoteReference w:id="23"/>
      </w:r>
      <w:r>
        <w:t xml:space="preserve"> Es evidencia comparada para diseñar procesos, no una demostración de que cualquier asamblea logrará decisiones superiores en cualquier territorio colombiano.</w:t>
      </w:r>
    </w:p>
    <w:p>
      <w:r>
        <w:t>Sus directrices de 2022 recomiendan escoger métodos según la decisión, combinar canales cuando sea pertinente y explicar cómo se utilizaron los aportes.</w:t>
      </w:r>
      <w:r>
        <w:rPr>
          <w:vertAlign w:val="superscript"/>
        </w:rPr>
        <w:footnoteReference w:id="24"/>
      </w:r>
      <w:r>
        <w:t xml:space="preserve"> La conclusión analítica de esta comparación es que la calidad depende de la conexión entre convocatoria, deliberación, autoridad y respuesta; una herramienta aislada resuelve solo una parte.</w:t>
      </w:r>
    </w:p>
    <w:p>
      <w:pPr>
        <w:pStyle w:val="Heading2"/>
      </w:pPr>
      <w:r>
        <w:t>4.3 La brecha de acceso afecta la evidencia recogida</w:t>
      </w:r>
    </w:p>
    <w:p>
      <w:r>
        <w:t>Según el boletín ENTIC Hogares 2024 del DANE, con información de la ECV, tenían conexión a internet el 65,6 % de los hogares a nivel nacional, el 72,5 % en cabeceras y el 41,9 % en centros poblados y rural disperso.</w:t>
      </w:r>
      <w:r>
        <w:rPr>
          <w:vertAlign w:val="superscript"/>
        </w:rPr>
        <w:footnoteReference w:id="25"/>
      </w:r>
      <w:r>
        <w:t xml:space="preserve"> Son datos de hogares de 2024, publicados en 2025; no porcentajes de personas ni estimaciones municipales. La diferencia justifica diseñar canales presenciales y asistidos desde el inicio.</w:t>
      </w:r>
    </w:p>
    <w:p>
      <w:r>
        <w:t>La exclusión también ocurre entre personas conectadas: falta de tiempo, miedo, alfabetización, discapacidad, idioma, desconfianza y obligaciones de cuidado. Las inferencias sobre estas barreras deben comprobarse localmente. La ausencia de aportes de una comunidad es información insuficiente sobre sus necesidades; puede indicar que el mecanismo no llegó a ella.</w:t>
      </w:r>
    </w:p>
    <w:p>
      <w:pPr>
        <w:pStyle w:val="Heading1"/>
      </w:pPr>
      <w:r>
        <w:t>5 Primer modelo y preguntas que debe superar</w:t>
      </w:r>
    </w:p>
    <w:p>
      <w:r>
        <w:t>Una primera versión razonable sería recibir ideas en barrios y veredas, agruparlas por problemas, discutirlas en el municipio, priorizar por sector y elevar las más relevantes al departamento y a la Nación. Cada propuesta tendría un identificador y un estado. La sencillez de esta secuencia la hace explicable, pero deja abiertos problemas sustantivos.</w:t>
      </w:r>
    </w:p>
    <w:p>
      <w:r>
        <w:rPr>
          <w:b/>
        </w:rPr>
        <w:t>Hipótesis inicial.</w:t>
      </w:r>
      <w:r>
        <w:t xml:space="preserve"> Si la participación comienza cerca de las personas y cada nivel selecciona sus prioridades, la agenda nacional reflejará mejor las necesidades locales. Esta hipótesis exige comprobar quién participa, quién selecciona, qué se pierde en cada síntesis y qué autoridad recibe lo seleccionado.</w:t>
      </w:r>
    </w:p>
    <w:p>
      <w:r>
        <w:rPr>
          <w:b/>
        </w:rPr>
        <w:t>Objeción principal.</w:t>
      </w:r>
      <w:r>
        <w:t xml:space="preserve"> Una cadena de filtros puede eliminar precisamente las necesidades menos numerosas. También puede obligar a un problema nacional a recorrer instancias locales sin competencia o permitir que un intermediario bloquee su llegada. El modelo inicial necesita rutas alternativas y conservación de evidencia, además de una secuencia territorial.</w:t>
      </w:r>
    </w:p>
    <w:p>
      <w:r>
        <w:rPr>
          <w:b/>
        </w:rPr>
        <w:t>Criterio de evaluación.</w:t>
      </w:r>
      <w:r>
        <w:t xml:space="preserve"> El mecanismo deberá mostrar simultáneamente inclusión, comprensión fiel, capacidad de decisión, sostenibilidad financiera y respuesta verificable. Mejorar una dimensión no garantiza las demás: recibir más ideas puede aumentar la espera, y financiar más proyectos pequeños puede fragmentar una inversión indispensable.</w:t>
      </w:r>
    </w:p>
    <w:p>
      <w:pPr>
        <w:pStyle w:val="Heading1"/>
      </w:pPr>
      <w:r>
        <w:t>6 Cómo capturar ideas sin exigir lenguaje técnico</w:t>
      </w:r>
    </w:p>
    <w:p>
      <w:pPr>
        <w:pStyle w:val="Heading2"/>
      </w:pPr>
      <w:r>
        <w:t>6.1 Un ingreso breve y una profundización acompañada</w:t>
      </w:r>
    </w:p>
    <w:p>
      <w:r>
        <w:t>La unidad inicial recomendada es una necesidad situada: qué ocurre, dónde, a quién afecta y qué cambio se busca. La solución imaginada por la persona se conserva, pero se distingue del problema. «Construir un hospital» puede expresar una dificultad de acceso que también exige estudiar personal, transporte, atención primaria o continuidad del servicio.</w:t>
      </w:r>
    </w:p>
    <w:p>
      <w:r>
        <w:t>La primera conversación o formulario debe poder completarse con texto, voz o ayuda presencial. Sus preguntas serían:</w:t>
      </w:r>
    </w:p>
    <w:p>
      <w:pPr>
        <w:pStyle w:val="ListNumber"/>
      </w:pPr>
      <w:r>
        <w:t>¿Qué está pasando o qué oportunidad quieres aprovechar?</w:t>
      </w:r>
    </w:p>
    <w:p>
      <w:pPr>
        <w:pStyle w:val="ListNumber"/>
      </w:pPr>
      <w:r>
        <w:t>¿En qué lugar o contexto ocurre?</w:t>
      </w:r>
    </w:p>
    <w:p>
      <w:pPr>
        <w:pStyle w:val="ListNumber"/>
      </w:pPr>
      <w:r>
        <w:t>¿A quién afecta, incluidas personas que no están participando?</w:t>
      </w:r>
    </w:p>
    <w:p>
      <w:pPr>
        <w:pStyle w:val="ListNumber"/>
      </w:pPr>
      <w:r>
        <w:t>¿Qué cambio concreto te gustaría observar?</w:t>
      </w:r>
    </w:p>
    <w:p>
      <w:pPr>
        <w:pStyle w:val="ListNumber"/>
      </w:pPr>
      <w:r>
        <w:t>¿Hay un riesgo urgente o una barrera para contar lo que ocurre?</w:t>
      </w:r>
    </w:p>
    <w:p>
      <w:pPr>
        <w:pStyle w:val="ListNumber"/>
      </w:pPr>
      <w:r>
        <w:t>Si tienes una solución en mente, ¿cuál sería? Esta respuesta es opcional.</w:t>
      </w:r>
    </w:p>
    <w:p>
      <w:r>
        <w:t>No se exige al ingreso calcular costos, identificar un ministerio, adjuntar estudios ni reunir firmas. La persona puede elegir un canal seguro de devolución y reservar su identidad públicamente. La propuesta recibe un comprobante que también funciona sin correo electrónico.</w:t>
      </w:r>
    </w:p>
    <w:p>
      <w:r>
        <w:t>En una segunda conversación, el equipo caracteriza frecuencia, población afectada, evidencias disponibles, alternativas, antecedentes y efectos no deseados. El relato original permanece asociado a la ficha técnica. Una transcripción o traducción debe ser confirmada por la persona o por un procedimiento accesible de revisión; la falta de respuesta no equivale a consentimiento para cambiar el sentido.</w:t>
      </w:r>
    </w:p>
    <w:p>
      <w:pPr>
        <w:pStyle w:val="Heading2"/>
      </w:pPr>
      <w:r>
        <w:t>6.2 Canales y condiciones de inclusión</w:t>
      </w:r>
    </w:p>
    <w:p>
      <w:r>
        <w:t>La recepción combina web de bajo consumo de datos, teléfono o voz, formularios en papel y facilitadores móviles. Los lugares se escogen con las comunidades: puntos de atención, escuelas, espacios comunitarios y otros lugares accesibles y seguros. Las contribuciones presenciales ingresan al mismo registro, con fecha, procedencia y comprobante.</w:t>
      </w:r>
    </w:p>
    <w:p>
      <w:r>
        <w:t>La búsqueda activa requiere un mapa de poblaciones ausentes y un presupuesto para transporte, traducción, accesibilidad y cuidado. Convocar únicamente a líderes conocidos puede omitir disensos internos. Deben existir vías para personas no afiliadas, residentes dispersos, quienes trabajan en horarios difíciles y quienes prefieren no hablar ante autoridades locales.</w:t>
      </w:r>
    </w:p>
    <w:p>
      <w:r>
        <w:t>Las solicitudes urgentes deben activar una ruta de atención apropiada y conservar, cuando corresponda, el aprendizaje de política pública. La respuesta a una amenaza inmediata no puede esperar al cierre de una votación de proyectos. Esta separación es funcional: un mismo relato puede generar una actuación urgente y una propuesta estructural vinculadas.</w:t>
      </w:r>
    </w:p>
    <w:p>
      <w:pPr>
        <w:pStyle w:val="Heading2"/>
      </w:pPr>
      <w:r>
        <w:t>6.3 Del aporte a la decisión sin borrar el origen</w:t>
      </w:r>
    </w:p>
    <w:p>
      <w:r>
        <w:t>El registro necesita objetos separados para aportes originales, necesidades, alternativas, proyectos, decisiones y resultados. Entre ellos hay relaciones múltiples: varias ideas pueden originar un proyecto y una idea puede requerir varias acciones. Si se agrupan 40 solicitudes de agua, deben permanecer identificables los lugares y condiciones de cada comunidad.</w:t>
      </w:r>
    </w:p>
    <w:p>
      <w:r>
        <w:t>Decidim documenta componentes que relacionan resultados con propuestas y proyectos, permiten subresultados y registran estados y fechas.</w:t>
      </w:r>
      <w:r>
        <w:rPr>
          <w:vertAlign w:val="superscript"/>
        </w:rPr>
        <w:footnoteReference w:id="26"/>
      </w:r>
      <w:r>
        <w:t xml:space="preserve"> Esa capacidad puede servir como referencia funcional. No demuestra que una instalación concreta venga preparada para operar el modelo completo, integrar sistemas colombianos o aplicar sus garantías.</w:t>
      </w:r>
    </w:p>
    <w:p>
      <w:r>
        <w:t>Polis identifica grupos de opinión y facilita observar acuerdos entre ellos.</w:t>
      </w:r>
      <w:r>
        <w:rPr>
          <w:vertAlign w:val="superscript"/>
        </w:rPr>
        <w:footnoteReference w:id="27"/>
      </w:r>
      <w:r>
        <w:t xml:space="preserve"> Puede apoyar discusiones de alternativas, pero sus grupos algorítmicos no equivalen a pueblos étnicos, territorios ni categorías jurídicas. Un punto de acuerdo frecuente tampoco basta para excluir una necesidad importante que solo vive un grupo pequeño.</w:t>
      </w:r>
    </w:p>
    <w:p>
      <w:r>
        <w:t>La inteligencia artificial puede sugerir clasificación, transcripción, traducción y similitudes. La aprobación de fusiones, los motivos de exclusión y las decisiones de prioridad requieren responsabilidad humana. Para detectar sesgos, conviene revisar muestras por canal, idioma, territorio y tamaño de población, con especial atención a propuestas raras que no se parezcan a las mayoritarias.</w:t>
      </w:r>
    </w:p>
    <w:p>
      <w:pPr>
        <w:pStyle w:val="Heading2"/>
      </w:pPr>
      <w:r>
        <w:t>6.4 Datos necesarios y protección</w:t>
      </w:r>
    </w:p>
    <w:p>
      <w:r>
        <w:t>La Ley 1581 reconoce principios de tratamiento y una protección específica de datos sensibles, como información étnica, política, de salud y biométrica.</w:t>
      </w:r>
      <w:r>
        <w:rPr>
          <w:vertAlign w:val="superscript"/>
        </w:rPr>
        <w:footnoteReference w:id="28"/>
      </w:r>
      <w:r>
        <w:t xml:space="preserve"> La recomendación es separar identidad y validación de participación del contenido público. Publicar propuestas no exige publicar cédulas, diagnósticos, domicilios ni ubicaciones de personas en riesgo.</w:t>
      </w:r>
    </w:p>
    <w:p>
      <w:r>
        <w:t>Para menores de edad, la SIC recuerda el estándar reforzado de interés superior, respeto de derechos, escucha según madurez y autorización aplicable del representante legal.</w:t>
      </w:r>
      <w:r>
        <w:rPr>
          <w:vertAlign w:val="superscript"/>
        </w:rPr>
        <w:footnoteReference w:id="29"/>
      </w:r>
      <w:r>
        <w:t xml:space="preserve"> Debe habilitarse su participación de forma adecuada a la edad y al mecanismo, con el diseño de protección correspondiente; no trasladar sin más el registro y la votación de adultos.</w:t>
      </w:r>
    </w:p>
    <w:p>
      <w:r>
        <w:t>El diccionario de datos propuesto incluye identificador, relato original, localización con precisión permitida, población afectada estimada, canal, fecha, idioma, permisos de uso, necesidad, alternativas, evidencia, entidad receptora, justificación, hitos y vínculos presupuestales. La pertenencia sensible se recoge solo si es necesaria y con fundamento adecuado. Un registro permanente de necesidades no justifica conservar indefinidamente todos los datos personales.</w:t>
      </w:r>
    </w:p>
    <w:p>
      <w:r>
        <w:t>Las publicaciones de grupos pequeños deben evaluar reidentificación, incluso sin nombres. Pueden requerir agregar ubicaciones, ocultar celdas de muy pocos casos o restringir la consulta. Una persona no debe tener que revelar públicamente su discapacidad o pertenencia étnica para que su necesidad sea atendida.</w:t>
      </w:r>
    </w:p>
    <w:p>
      <w:pPr>
        <w:pStyle w:val="Heading1"/>
      </w:pPr>
      <w:r>
        <w:t>7 Cómo proteger a poblaciones pequeñas</w:t>
      </w:r>
    </w:p>
    <w:p>
      <w:pPr>
        <w:pStyle w:val="Heading2"/>
      </w:pPr>
      <w:r>
        <w:t>7.1 La protección debe actuar en cuatro momentos</w:t>
      </w:r>
    </w:p>
    <w:p>
      <w:r>
        <w:rPr>
          <w:b/>
        </w:rPr>
        <w:t>Acceso.</w:t>
      </w:r>
      <w:r>
        <w:t xml:space="preserve"> Cada contexto identificado debe tener una oportunidad real de aportar. La ausencia de registros activa una revisión de cobertura y, cuando corresponda, búsqueda presencial. La meta es reducir barreras, no obligar a participar ni exigir que una comunidad exhiba públicamente su identidad.</w:t>
      </w:r>
    </w:p>
    <w:p>
      <w:r>
        <w:rPr>
          <w:b/>
        </w:rPr>
        <w:t>Agenda.</w:t>
      </w:r>
      <w:r>
        <w:t xml:space="preserve"> Una necesidad puede entrar a evaluación por relevancia local, gravedad, exclusión o efectos interterritoriales, aunque reúna pocos apoyos. La recomendación es reservar capacidad de revisión para estos casos y publicar criterios antes de recibir propuestas. Se garantiza examen motivado, no aprobación automática de la solución.</w:t>
      </w:r>
    </w:p>
    <w:p>
      <w:r>
        <w:rPr>
          <w:b/>
        </w:rPr>
        <w:t>Decisión.</w:t>
      </w:r>
      <w:r>
        <w:t xml:space="preserve"> Antes de elegir inversiones se examina quién recibe beneficios, quién asume costos y qué grupos quedarían sin una respuesta razonable. El tamaño poblacional se considera junto con intensidad de necesidad, brechas y obligaciones. Ser pequeño no convierte cualquier proyecto en prioritario; ser numeroso no vuelve menos legítima una necesidad grave.</w:t>
      </w:r>
    </w:p>
    <w:p>
      <w:r>
        <w:rPr>
          <w:b/>
        </w:rPr>
        <w:t>Ejecución.</w:t>
      </w:r>
      <w:r>
        <w:t xml:space="preserve"> Los indicadores conservan el detalle que permita verificar si la intervención llegó a las comunidades de origen. Un promedio nacional favorable puede coexistir con territorios sin servicio. Las protecciones no terminan cuando se asigna presupuesto.</w:t>
      </w:r>
    </w:p>
    <w:p>
      <w:pPr>
        <w:pStyle w:val="Heading2"/>
      </w:pPr>
      <w:r>
        <w:t>7.2 Las minorías también existen dentro de las mayorías</w:t>
      </w:r>
    </w:p>
    <w:p>
      <w:r>
        <w:t>Un municipio rural puede invisibilizar a mujeres cuidadoras; una ciudad puede invisibilizar a una pequeña comunidad desplazada; un pueblo étnico puede tener desacuerdos entre generaciones. Por eso se necesitan audiencias y canales confidenciales que complementen las vocerías. La legitimidad colectiva no exige suponer unanimidad interna.</w:t>
      </w:r>
    </w:p>
    <w:p>
      <w:r>
        <w:t>Las categorías territoriales y poblacionales se fijan antes de la selección y se revisan mediante reglas públicas. De lo contrario, actores organizados podrían fragmentar artificialmente sus propuestas o crear grupos instrumentales para recibir más cupos. Las personas pueden pertenecer a varios contextos, pero no deben multiplicar por ello su voto sobre una misma decisión.</w:t>
      </w:r>
    </w:p>
    <w:p>
      <w:r>
        <w:t>El diseño no pretende sumar una plaza de representación por cada cruce de identidad. Una matriz exhaustiva de edad, género, territorio, discapacidad, pertenencia étnica y situación socioeconómica puede generar miles de combinaciones inviables. Se propone combinar una selección deliberativa diversa con audiencias específicas de afectación y auditoría de ausencias, reconociendo sus límites.</w:t>
      </w:r>
    </w:p>
    <w:p>
      <w:pPr>
        <w:pStyle w:val="Heading2"/>
      </w:pPr>
      <w:r>
        <w:t>7.3 Lo que los apoyos pueden y no pueden mostrar</w:t>
      </w:r>
    </w:p>
    <w:p>
      <w:r>
        <w:t>El número de apoyos sirve para conocer movilización entre participantes. El porcentaje de apoyo entre votantes de una mesa describe esa mesa. Dividir apoyos por una estimación poblacional puede ilustrar cobertura, pero no transforma una convocatoria voluntaria en una encuesta representativa.</w:t>
      </w:r>
    </w:p>
    <w:p>
      <w:r>
        <w:t>Para estimar preferencias de una población se necesita un diseño muestral apropiado, tratamiento de no respuesta y reconocimiento de incertidumbre. En grupos muy pequeños puede resultar más útil una escucha amplia y evidencia cualitativa de afectación que presentar porcentajes aparentemente precisos. El silencio nunca se codifica automáticamente como rechazo.</w:t>
      </w:r>
    </w:p>
    <w:p>
      <w:r>
        <w:t>La protección de una comunidad pequeña debe descansar en la relevancia y las garantías del proceso, no en inflar mecánicamente el valor de sus votos. Multiplicar votos por el inverso de la población puede sobrepremiar grupos diminutos, incentivar manipulación de fronteras y relegar necesidades igualmente graves de comunidades grandes.</w:t>
      </w:r>
    </w:p>
    <w:p>
      <w:pPr>
        <w:pStyle w:val="Heading1"/>
      </w:pPr>
      <w:r>
        <w:t>8 Cómo priorizar sin convertir la popularidad en la única regla</w:t>
      </w:r>
    </w:p>
    <w:p>
      <w:pPr>
        <w:pStyle w:val="Heading2"/>
      </w:pPr>
      <w:r>
        <w:t>8.1 Comparación de métodos</w:t>
      </w:r>
    </w:p>
    <w:tbl>
      <w:tblPr>
        <w:tblW w:type="auto" w:w="0"/>
        <w:jc w:val="center"/>
        <w:tblLayout w:type="fixed"/>
        <w:tblLook w:firstColumn="1" w:firstRow="1" w:lastColumn="0" w:lastRow="0" w:noHBand="0" w:noVBand="1" w:val="04A0"/>
      </w:tblPr>
      <w:tblGrid>
        <w:gridCol w:w="1750"/>
        <w:gridCol w:w="2527"/>
        <w:gridCol w:w="2722"/>
        <w:gridCol w:w="2722"/>
      </w:tblGrid>
      <w:tr>
        <w:trPr>
          <w:cantSplit/>
          <w:tblHeader/>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Método</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Aporte útil</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Riesgo</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Uso recomendado</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Conteo abierto de apoyos</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Detecta movilización</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Favorece redes grandes y exposición</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Señal de interés, sin filtro exclusivo</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Apoyo relativo al grupo</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Describe apoyo en un contexto</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Denominador discutible y autoselección</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Análisis contextual, sin ranking nacional</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Voto entre proyectos con costos</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Hace visibles restricciones</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favorecer proyectos populares o baratos</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Decisiones acotadas y reglas previas</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Evaluación por varios criterios</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Explicita razones de prioridad</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Pesos arbitrarios y discrecionalidad técnica</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Comparar alternativas con evidencia y revisión</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Panel deliberativo diverso</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Permite aprender y discutir intercambios</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Selección, deserción y captura de agenda</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Recomendaciones sobre decisiones concretas</w:t>
            </w:r>
          </w:p>
        </w:tc>
      </w:tr>
      <w:tr>
        <w:trPr>
          <w:cantSplit/>
        </w:trPr>
        <w:tc>
          <w:tcPr>
            <w:tcW w:type="dxa" w:w="17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Cupos o reservas de revisión</w:t>
            </w:r>
          </w:p>
        </w:tc>
        <w:tc>
          <w:tcPr>
            <w:tcW w:type="dxa" w:w="252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Evita exclusión temprana</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Fragmentación y captura de categorías</w:t>
            </w:r>
          </w:p>
        </w:tc>
        <w:tc>
          <w:tcPr>
            <w:tcW w:type="dxa" w:w="27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Proteger acceso a evaluación, con auditoría</w:t>
            </w:r>
          </w:p>
        </w:tc>
      </w:tr>
    </w:tbl>
    <w:p>
      <w:pPr>
        <w:spacing w:after="0"/>
      </w:pPr>
    </w:p>
    <w:p>
      <w:r>
        <w:t>La recomendación combina métodos con funciones distintas. La recepción abierta descubre problemas; la búsqueda activa cubre ausencias; el examen de derechos y competencia determina rutas; la deliberación compara alternativas; el presupuesto limita compromisos; la autoridad adopta y explica la decisión.</w:t>
      </w:r>
    </w:p>
    <w:p>
      <w:pPr>
        <w:pStyle w:val="Heading2"/>
      </w:pPr>
      <w:r>
        <w:t>8.2 Secuencia de selección propuesta</w:t>
      </w:r>
    </w:p>
    <w:p>
      <w:r>
        <w:rPr>
          <w:b/>
        </w:rPr>
        <w:t>Primero, identificar obligaciones y atención urgente.</w:t>
      </w:r>
      <w:r>
        <w:t xml:space="preserve"> Las necesidades que comprometen derechos o riesgos graves requieren revisión competente y respuesta apropiada. No se someten a una competencia de popularidad para determinar si merecen ser atendidas. Esto no elimina la necesidad de verificar el hecho, identificar la obligación concreta y escoger una solución proporcional.</w:t>
      </w:r>
    </w:p>
    <w:p>
      <w:r>
        <w:rPr>
          <w:b/>
        </w:rPr>
        <w:t>Segundo, separar importancia y madurez.</w:t>
      </w:r>
      <w:r>
        <w:t xml:space="preserve"> Un problema puede ser prioritario aunque la comunidad no tenga estudios. La falta de formulación debe llevar, cuando esté justificado, a asistencia técnica o estructuración. Seleccionar exclusivamente proyectos listos puede premiar a quienes ya tienen más capacidades.</w:t>
      </w:r>
    </w:p>
    <w:p>
      <w:r>
        <w:rPr>
          <w:b/>
        </w:rPr>
        <w:t>Tercero, construir alternativas comparables.</w:t>
      </w:r>
      <w:r>
        <w:t xml:space="preserve"> Cada ficha expone resultado esperado, personas beneficiadas y perjudicadas, costos de inversión y operación, riesgos, permisos, mantenimiento, plazo y responsable. Los costos se presentan como rangos cuando todavía son inciertos. Deben compararse soluciones al problema, incluida mejora de servicios existentes, sin favorecer automáticamente obras nuevas.</w:t>
      </w:r>
    </w:p>
    <w:p>
      <w:r>
        <w:rPr>
          <w:b/>
        </w:rPr>
        <w:t>Cuarto, discutir criterios y carteras.</w:t>
      </w:r>
      <w:r>
        <w:t xml:space="preserve"> Se consideran gravedad, brecha, población afectada, calidad y duración del beneficio, efectos ambientales, pertinencia cultural, factibilidad y costo de oportunidad. La factibilidad de ejecutar ahora y la prioridad de estructurar se reportan por separado. Cualquier ponderación numérica es una elección pública que debe explicarse; no representa una verdad técnica universal.</w:t>
      </w:r>
    </w:p>
    <w:p>
      <w:r>
        <w:rPr>
          <w:b/>
        </w:rPr>
        <w:t>Quinto, seleccionar un conjunto compatible.</w:t>
      </w:r>
      <w:r>
        <w:t xml:space="preserve"> Una cartera es un grupo de intervenciones que puede financiarse y ejecutarse en conjunto. Debe respetar restricciones por fuente y año, costos de operación, dependencias y exclusiones. Si dos proyectos prometen resolver el mismo problema para los mismos hogares, sus beneficios no se suman como si atendieran poblaciones diferentes.</w:t>
      </w:r>
    </w:p>
    <w:p>
      <w:r>
        <w:rPr>
          <w:b/>
        </w:rPr>
        <w:t>Sexto, resolver y devolver.</w:t>
      </w:r>
      <w:r>
        <w:t xml:space="preserve"> La autoridad identifica qué se adopta, qué requiere otra ruta, qué se posterga y qué no se adopta, con razones concretas. La ciudadanía debe poder discutir errores de datos, exclusiones injustificadas y fusiones que alteren el sentido. La revisión del proceso complementa los recursos jurídicos aplicables.</w:t>
      </w:r>
    </w:p>
    <w:p>
      <w:pPr>
        <w:pStyle w:val="Heading2"/>
      </w:pPr>
      <w:r>
        <w:t>8.3 Reglas para una votación acotada</w:t>
      </w:r>
    </w:p>
    <w:p>
      <w:r>
        <w:t>Cuando se use voto ciudadano, el reglamento define antes de abrirlo el presupuesto disponible, los proyectos elegibles, quién participa, cómo se valida identidad o residencia, la selección bajo el techo de gasto y el desempate. Una persona emite una papeleta por decisión; la captura presencial y digital se concilia para evitar duplicación. La validación tiene alternativas accesibles para no excluir por falta de teléfono o habilidades digitales.</w:t>
      </w:r>
    </w:p>
    <w:p>
      <w:r>
        <w:t>Se recomienda mostrar proyectos en orden rotativo y fichas comparables, sin ventajas compradas de exposición. La movilización colectiva legítima debe distinguirse de suplantación, coacción y automatización fraudulenta. Una alerta informática abre revisión y posibilidad de reclamación; no debe anular automáticamente los aportes de una comunidad.</w:t>
      </w:r>
    </w:p>
    <w:p>
      <w:r>
        <w:t>Las reglas sobre empates o proyectos que no caben en el saldo deben poder simularse antes de votar. Si se elige una regla de aprobación con selección bajo presupuesto, se publica exactamente cómo se forma la cartera. No basta decir «ganan los más votados» cuando los proyectos tienen costos y dependencias diferentes.</w:t>
      </w:r>
    </w:p>
    <w:p>
      <w:pPr>
        <w:pStyle w:val="Heading1"/>
      </w:pPr>
      <w:r>
        <w:t>9 Prueba de escritorio con poblaciones desiguales</w:t>
      </w:r>
    </w:p>
    <w:p>
      <w:r>
        <w:t>Todos los datos de esta sección son ficticios. El ejercicio comprueba consecuencias de reglas; no estima costos reales ni demuestra efectividad en campo. Se supone que los cuatro proyectos son técnicamente viables, que su costo incluye los compromisos del horizonte considerado y que compiten por una misma fuente flexible de 200 millones de pesos. En una aplicación real estas condiciones deben comprobarse.</w:t>
      </w:r>
    </w:p>
    <w:tbl>
      <w:tblPr>
        <w:tblW w:type="auto" w:w="0"/>
        <w:jc w:val="center"/>
        <w:tblLayout w:type="fixed"/>
        <w:tblLook w:firstColumn="1" w:firstRow="1" w:lastColumn="0" w:lastRow="0" w:noHBand="0" w:noVBand="1" w:val="04A0"/>
      </w:tblPr>
      <w:tblGrid>
        <w:gridCol w:w="1069"/>
        <w:gridCol w:w="3013"/>
        <w:gridCol w:w="1166"/>
        <w:gridCol w:w="1555"/>
        <w:gridCol w:w="2916"/>
      </w:tblGrid>
      <w:tr>
        <w:trPr>
          <w:cantSplit/>
          <w:tblHeader/>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Proyecto</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Contexto</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Apoyos</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Costo en millones</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Hallazgo supuesto de la evaluación</w:t>
            </w:r>
          </w:p>
        </w:tc>
      </w:tr>
      <w:tr>
        <w:trPr>
          <w:cantSplit/>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Mejoramiento recreativo urbano</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6.000</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120</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Beneficio válido, sin urgencia comprobada</w:t>
            </w:r>
          </w:p>
        </w:tc>
      </w:tr>
      <w:tr>
        <w:trPr>
          <w:cantSplit/>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Agua segura para una comunidad de 120 personas</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36</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90</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Privación grave; respuesta prioritaria</w:t>
            </w:r>
          </w:p>
        </w:tc>
      </w:tr>
      <w:tr>
        <w:trPr>
          <w:cantSplit/>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Accesibilidad para un grupo de 80 personas en una ciudad</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25</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80</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Barrera esencial; respuesta prioritaria</w:t>
            </w:r>
          </w:p>
        </w:tc>
      </w:tr>
      <w:tr>
        <w:trPr>
          <w:cantSplit/>
        </w:trPr>
        <w:tc>
          <w:tcPr>
            <w:tcW w:type="dxa" w:w="10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w:t>
            </w:r>
          </w:p>
        </w:tc>
        <w:tc>
          <w:tcPr>
            <w:tcW w:type="dxa" w:w="30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Movilidad para 30 personas dispersas</w:t>
            </w:r>
          </w:p>
        </w:tc>
        <w:tc>
          <w:tcPr>
            <w:tcW w:type="dxa" w:w="11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12</w:t>
            </w:r>
          </w:p>
        </w:tc>
        <w:tc>
          <w:tcPr>
            <w:tcW w:type="dxa" w:w="15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50</w:t>
            </w:r>
          </w:p>
        </w:tc>
        <w:tc>
          <w:tcPr>
            <w:tcW w:type="dxa" w:w="29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Necesidad relevante; menor urgencia relativa</w:t>
            </w:r>
          </w:p>
        </w:tc>
      </w:tr>
    </w:tbl>
    <w:p>
      <w:pPr>
        <w:spacing w:after="0"/>
      </w:pPr>
    </w:p>
    <w:p>
      <w:r>
        <w:rPr>
          <w:b/>
        </w:rPr>
        <w:t>Regla de popularidad.</w:t>
      </w:r>
      <w:r>
        <w:t xml:space="preserve"> Ordenar A, B, C y D por apoyos y seleccionar sucesivamente el proyecto que cabe produce A + C, con costo de 200. B queda fuera, aunque se supuso una privación grave. El ejemplo muestra que incluso una regla aparentemente neutral puede excluir una necesidad de alta prioridad.</w:t>
      </w:r>
    </w:p>
    <w:p>
      <w:r>
        <w:rPr>
          <w:b/>
        </w:rPr>
        <w:t>Regla de porcentaje aparente.</w:t>
      </w:r>
      <w:r>
        <w:t xml:space="preserve"> B registra 36/120 = 30 %, C registra 25/80 = 31,25 % y D registra 12/30 = 40 %. Esa operación colocaría D por encima de B. No demuestra mayor necesidad ni apoyo de toda la comunidad; mezcla movilización, denominadores y posibles diferencias de elegibilidad. No debe usarse como corrector suficiente.</w:t>
      </w:r>
    </w:p>
    <w:p>
      <w:r>
        <w:rPr>
          <w:b/>
        </w:rPr>
        <w:t>Regla con evaluación de obligaciones y necesidades.</w:t>
      </w:r>
      <w:r>
        <w:t xml:space="preserve"> Bajo los supuestos explícitos de gravedad de B y C, la cartera propuesta B + C cuesta 170. D conserva una ruta de estructuración o programación y A queda pendiente con una explicación. Los 30 restantes no se inventan como financiación suficiente para D: permanecen sin asignar a estos proyectos o se destinan mediante el procedimiento correspondiente a una alternativa evaluada.</w:t>
      </w:r>
    </w:p>
    <w:p>
      <w:r>
        <w:t>La clasificación de B y C no nace de ser pequeños, sino de la evaluación supuesta de privación y barreras. Si se altera esa evidencia, la recomendación debe revisarse. No puede deducirse de la tabla que todo proyecto de agua supera a todo proyecto recreativo en cualquier circunstancia.</w:t>
      </w:r>
    </w:p>
    <w:p>
      <w:r>
        <w:rPr>
          <w:b/>
        </w:rPr>
        <w:t>Sensibilidad presupuestal.</w:t>
      </w:r>
      <w:r>
        <w:t xml:space="preserve"> Con 220 millones, B + C + D resulta financiable. Con 140, B + C deja de serlo: no sería válido omitir silenciosamente C y mantener la misma promesa. Deben examinarse medidas transitorias, fases técnicamente viables, otra fuente o una revisión de la cartera por la autoridad competente. Las restricciones contradictorias deben quedar visibles.</w:t>
      </w:r>
    </w:p>
    <w:p>
      <w:r>
        <w:rPr>
          <w:b/>
        </w:rPr>
        <w:t>Sensibilidad a costos.</w:t>
      </w:r>
      <w:r>
        <w:t xml:space="preserve"> Si B y C cuestan ambos 25 % más, su total pasa de 170 a 212,5 millones y supera el techo original. La prioridad de la necesidad puede mantenerse, mientras que el compromiso de ejecución exige una solución financiera distinta. Por eso un proyecto «seleccionado» no debería anunciarse como financiado antes de verificar el costo y la disponibilidad.</w:t>
      </w:r>
    </w:p>
    <w:p>
      <w:r>
        <w:rPr>
          <w:b/>
        </w:rPr>
        <w:t>Prueba de representación.</w:t>
      </w:r>
      <w:r>
        <w:t xml:space="preserve"> D debe ser examinado aunque pierda la selección de este ciclo; C demuestra que proteger solo ruralidad también dejaría una minoría urbana expuesta. La garantía buscada es examen, respuesta y continuidad de la necesidad, sin prometer que todos los proyectos podrán financiarse simultáneamente.</w:t>
      </w:r>
    </w:p>
    <w:p>
      <w:pPr>
        <w:pStyle w:val="Heading1"/>
      </w:pPr>
      <w:r>
        <w:t>10 Revisión crítica del primer modelo</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Supuesto inicial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Objeción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Cambio en la versión refinada</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Las mejores ideas suben por la cadena territorial</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Cada filtro puede borrar minorías o bloquear remisiones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Rutas directas por competencia y registro de origen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Una convocatoria abierta incluye a todos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Participa quien puede, sabe y confía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Búsqueda activa y examen de ausencias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Normalizar votos corrige desigualdad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No corrige autoselección; puede sobrerrepresentar grupos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Apoyos como contexto y evaluación de afectación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 delegado representa a toda su comunidad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omitir disenso o tener conflictos de interés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Audiencias adicionales y mandatos verificables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 IA puede fusionar duplicados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Similaridad textual no asegura equivalencia de necesidades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Fusiones propuestas, revisables y sin borrar originales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 puntaje identifica la mejor inversión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esconder valores y restricciones incompatibles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Comparación por criterios y carteras explicadas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Deben ganar los proyectos listos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Las comunidades con menos capacidades llegan sin estudios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Ruta propia de asistencia y estructuración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Incluir una idea en el plan significa atenderla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no recibir recursos ni producir resultados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Estados distintos de reconocimiento, financiación y logro</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 panel diverso resuelve la representación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desertar gente o fallar el reclutamiento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Auditoría de selección, reemplazos y retención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Reservar recursos a pequeños territorios siempre es justo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ignorar pobreza urbana o fragmentar inversiones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Evaluación distributiva y justificación de reservas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Escuchar y votar vuelve vinculante el proceso</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 autoridad puede carecer de competencia o presupuesto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Mandato explícito y adopción por el órgano competente</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Publicar todo garantiza transparencia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Puede revelar identidades sensibles o facilitar represalias</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Transparencia de razones con protección de personas</w:t>
            </w:r>
          </w:p>
        </w:tc>
      </w:tr>
    </w:tbl>
    <w:p>
      <w:pPr>
        <w:spacing w:after="0"/>
      </w:pPr>
    </w:p>
    <w:p>
      <w:r>
        <w:t>La revisión deja una tensión irresoluble por fórmula: la igualdad entre personas, la representación territorial y la protección de necesidades intensas pueden apuntar a carteras diferentes. Resolver esa tensión exige criterios públicos, deliberación y responsabilidad política. El sistema debe hacer visible la elección y permitir cuestionarla.</w:t>
      </w:r>
    </w:p>
    <w:p>
      <w:r>
        <w:t>Otra limitación es la escala. No es realista deliberar extensamente sobre cada aporte de una convocatoria nacional. La solución propuesta diferencia acuse y clasificación de todas las entradas, evaluación de necesidades agrupadas y deliberación sobre conjuntos manejables de alternativas. La agrupación reduce trabajo solo si conserva trazabilidad y canales de disenso.</w:t>
      </w:r>
    </w:p>
    <w:p>
      <w:pPr>
        <w:pStyle w:val="Heading1"/>
      </w:pPr>
      <w:r>
        <w:t>11 Versión refinada del mecanismo</w:t>
      </w:r>
    </w:p>
    <w:p>
      <w:pPr>
        <w:pStyle w:val="Heading2"/>
      </w:pPr>
      <w:r>
        <w:t>11.1 Arquitectura de tres rutas y una garantía transversal</w:t>
      </w:r>
    </w:p>
    <w:p>
      <w:r>
        <w:rPr>
          <w:b/>
        </w:rPr>
        <w:t>Ruta de respuesta cercana.</w:t>
      </w:r>
      <w:r>
        <w:t xml:space="preserve"> Atiende gestiones, servicios y proyectos que pueden resolverse en el ámbito competente. Su éxito es solucionar la necesidad y documentar el resultado; no necesita obtener visibilidad nacional para ser valiosa.</w:t>
      </w:r>
    </w:p>
    <w:p>
      <w:r>
        <w:rPr>
          <w:b/>
        </w:rPr>
        <w:t>Ruta de coordinación entre territorios.</w:t>
      </w:r>
      <w:r>
        <w:t xml:space="preserve"> Reúne problemas de cuencas, corredores, redes de servicios u otros ámbitos compartidos. Antes de votar inversiones, identifica entidades participantes, responsabilidades, distribución de costos y mantenimiento. Un acuerdo entre ciudadanos no compromete por sí mismo recursos de varias entidades.</w:t>
      </w:r>
    </w:p>
    <w:p>
      <w:r>
        <w:rPr>
          <w:b/>
        </w:rPr>
        <w:t>Ruta de política nacional.</w:t>
      </w:r>
      <w:r>
        <w:t xml:space="preserve"> Traduce patrones de necesidades, brechas estructurales y obstáculos regulatorios en opciones de política, metas, programas o cambios normativos. Puede recibir evidencia directamente de personas, comunidades o instancias sectoriales, sin exigir éxito previo en un ranking municipal. Cada opción conserva vínculos con los contextos que la originaron.</w:t>
      </w:r>
    </w:p>
    <w:p>
      <w:r>
        <w:rPr>
          <w:b/>
        </w:rPr>
        <w:t>Garantía transversal de inclusión.</w:t>
      </w:r>
      <w:r>
        <w:t xml:space="preserve"> En las tres rutas, una necesidad poco visible puede activar revisión por afectación, exclusión o riesgo. Incluye grupos pequeños rurales y urbanos, comunidades distribuidas y voces internas disidentes. Es una garantía propuesta de examen y respuesta; no crea competencias, cupos legales ni derechos presupuestales automáticos.</w:t>
      </w:r>
    </w:p>
    <w:p>
      <w:pPr>
        <w:pStyle w:val="Heading2"/>
      </w:pPr>
      <w:r>
        <w:t>11.2 Acuerdo público antes de convocar</w:t>
      </w:r>
    </w:p>
    <w:p>
      <w:r>
        <w:t>Cada proceso debe publicar un documento breve que establezca la decisión abierta, la entidad competente, el alcance de la participación, el calendario, los criterios, los recursos disponibles y el tratamiento de desacuerdos. También identifica quién financia y administra la participación, quién revisa exclusiones y qué ocurrirá si la decisión recomendada no se adopta.</w:t>
      </w:r>
    </w:p>
    <w:p>
      <w:r>
        <w:t>Hay tres niveles de compromiso que deben nombrarse con precisión. En una consulta, la autoridad recibe y considera aportes. En una deliberación con compromiso de respuesta, se obliga dentro del marco que corresponda a explicar su posición. En una decisión presupuestal participativa autorizada, el resultado sigue las reglas de adopción aplicables dentro del monto y ámbito definidos. El reglamento debe describir el efecto concreto, sin usar «vinculante» como promesa genérica.</w:t>
      </w:r>
    </w:p>
    <w:p>
      <w:pPr>
        <w:pStyle w:val="Heading2"/>
      </w:pPr>
      <w:r>
        <w:t>11.3 Gobernanza y control de la discrecionalidad</w:t>
      </w:r>
    </w:p>
    <w:p>
      <w:r>
        <w:t>La autoridad de planeación convoca y articula; las entidades sectoriales verifican competencia y alternativas; el equipo fiscal comprueba fuentes y compromisos. Un equipo de facilitación organiza la escucha y documenta argumentos. Los CTP y el CNP mantienen sus funciones y pueden recibir paquetes trazables de aportes; los paneles complementarios no los sustituyen ni asumen atribuciones de concejos, asambleas o Congreso.</w:t>
      </w:r>
    </w:p>
    <w:p>
      <w:r>
        <w:t>Se propone un mecanismo de revisión con independencia funcional de quien filtró inicialmente la propuesta. Examina fusiones, exclusiones, conflictos de interés y barreras de participación. Su composición y alcance se definen en el instrumento que habilite el proceso; no se presupone que una nueva comisión tenga potestades de control fiscal o judicial.</w:t>
      </w:r>
    </w:p>
    <w:p>
      <w:r>
        <w:t>Los órganos deliberativos deben publicar el método de selección, los criterios de diversidad, las sustituciones y el tratamiento de conflictos, preservando datos personales. El tamaño se calcula según la decisión, heterogeneidad, logística y recursos. No se presenta un panel pequeño como estimación estadística precisa de toda la Nación ni se exige unanimidad para reconocer acuerdos parciales.</w:t>
      </w:r>
    </w:p>
    <w:p>
      <w:pPr>
        <w:pStyle w:val="Heading2"/>
      </w:pPr>
      <w:r>
        <w:t>11.4 Estados que una persona puede entender</w:t>
      </w:r>
    </w:p>
    <w:p>
      <w:r>
        <w:t>La ficha muestra estados verificables: recibida; requiere aclaración; en evaluación; remitida con recepción confirmada; priorizada para estructuración; priorizada para decisión presupuestal; incorporada al instrumento; financiada; en ejecución; resultado verificado; no adoptada con motivo; o pendiente de un ciclo identificado. Un aporte agrupado conserva su enlace y no desaparece del historial.</w:t>
      </w:r>
    </w:p>
    <w:p>
      <w:r>
        <w:t>Cada cambio registra fecha, responsable, fundamento y próximo paso. Los términos internos de servicio deben diferenciarse de los plazos legales de peticiones y actuaciones. La Ley 1755 regula el derecho de petición: una plataforma de propuestas no puede suspender obligaciones aplicables ni inventar que todas las entradas tienen la misma naturaleza jurídica.</w:t>
      </w:r>
      <w:r>
        <w:rPr>
          <w:vertAlign w:val="superscript"/>
        </w:rPr>
        <w:footnoteReference w:id="30"/>
      </w:r>
    </w:p>
    <w:p>
      <w:r>
        <w:t>No basta un cierre como «fuera de competencia». Debe constar el destino y, cuando corresponda, la remisión procedente. Tampoco basta «sin recursos»: debe distinguirse ausencia de fuente, falta de estructuración, menor prioridad relativa o restricción legal, indicando qué hecho permitiría reconsiderar la propuesta.</w:t>
      </w:r>
    </w:p>
    <w:p>
      <w:pPr>
        <w:pStyle w:val="Heading1"/>
      </w:pPr>
      <w:r>
        <w:t>12 Recorrido de una idea hasta una decisión nacional</w:t>
      </w:r>
    </w:p>
    <w:p>
      <w:r>
        <w:t>Ejemplo hipotético: una comunidad dispersa informa que el agua llega de forma irregular y que las soluciones existentes no corresponden a sus condiciones. Un facilitador recoge el relato por voz, devuelve la transcripción y registra la ubicación con la precisión segura. La persona obtiene un comprobante y conoce cuándo recibirá una respuesta.</w:t>
      </w:r>
    </w:p>
    <w:p>
      <w:r>
        <w:t>El equipo competente examina el riesgo y activa atención inmediata si se requiere. Después verifica población, servicio actual y alternativas. En lugar de imponer un acueducto convencional, compara opciones acordes con la dispersión, calidad del agua, operación, mantenimiento y preferencias comunitarias. Si existe afectación directa a un pueblo étnico, se articula la ruta jurídica correspondiente.</w:t>
      </w:r>
    </w:p>
    <w:p>
      <w:r>
        <w:t>Durante la revisión aparecen necesidades similares en otros municipios. Se crea un conjunto de problemas de agua rural dispersa, conservando cada comunidad como caso diferenciado. La síntesis registra coincidencias y diferencias: unas necesitan infraestructura, otras operación, otras acceso a financiación o acompañamiento. No se convierte todo en una única obra.</w:t>
      </w:r>
    </w:p>
    <w:p>
      <w:r>
        <w:t>Si la barrera es común y supera capacidades locales, la ruta nacional formula opciones de ajuste al programa, asistencia o financiación. La entidad nacional examina si corresponde un instrumento de gestión, regulación, presupuesto o contenido del PND. La propuesta mantiene una relación visible con los casos y con la justificación del instrumento elegido.</w:t>
      </w:r>
    </w:p>
    <w:p>
      <w:r>
        <w:t>Cuando se adopta una intervención nacional, la comunidad original debe poder observar si cumple sus criterios, si está incluida en la programación y qué servicio recibió. Un programa nacional aprobado no es prueba de solución local. El resultado relevante incluye calidad, continuidad, asequibilidad cuando corresponda y sostenibilidad del servicio, comprobadas mediante indicadores adecuados.</w:t>
      </w:r>
    </w:p>
    <w:p>
      <w:pPr>
        <w:pStyle w:val="Heading1"/>
      </w:pPr>
      <w:r>
        <w:t>13 Pruebas adicionales de lógica y restricciones</w:t>
      </w:r>
    </w:p>
    <w:p>
      <w:r>
        <w:rPr>
          <w:b/>
        </w:rPr>
        <w:t>Comunidad ausente.</w:t>
      </w:r>
      <w:r>
        <w:t xml:space="preserve"> Una zona no envía aportes. El proceso no concluye que no tiene necesidades; comprueba si fue convocada, si el canal era accesible y si existían riesgos. Los diagnósticos existentes y la escucha activa pueden introducir problemas, indicando su origen.</w:t>
      </w:r>
    </w:p>
    <w:p>
      <w:r>
        <w:rPr>
          <w:b/>
        </w:rPr>
        <w:t>Captura por organización grande.</w:t>
      </w:r>
      <w:r>
        <w:t xml:space="preserve"> Una organización presenta cientos de variantes. Se relacionan con las necesidades correspondientes, pero no se le atribuye cientos de personas por cientos de textos. Se preserva la movilización legítima y se investiga duplicación de identidad sin presumir fraude por coincidencia política.</w:t>
      </w:r>
    </w:p>
    <w:p>
      <w:r>
        <w:rPr>
          <w:b/>
        </w:rPr>
        <w:t>Grupo pequeño con propuesta perjudicial.</w:t>
      </w:r>
      <w:r>
        <w:t xml:space="preserve"> Una comunidad solicita una obra que causaría daño grave a otra. El tamaño reducido no excusa ese impacto. Se estudian alternativas, obligaciones y personas perjudicadas; la propuesta puede no adoptarse con motivación y revisión.</w:t>
      </w:r>
    </w:p>
    <w:p>
      <w:r>
        <w:rPr>
          <w:b/>
        </w:rPr>
        <w:t>Beneficio nacional con costo localizado.</w:t>
      </w:r>
      <w:r>
        <w:t xml:space="preserve"> Una infraestructura puede beneficiar a muchas personas y concentrar cargas en pocas. La evaluación debe incluir afectaciones y obligaciones ambientales, sociales y de consulta aplicables. El beneficio agregado no borra los costos localizados ni convierte una compensación económica en autorización suficiente.</w:t>
      </w:r>
    </w:p>
    <w:p>
      <w:r>
        <w:rPr>
          <w:b/>
        </w:rPr>
        <w:t>Fragmentación de proyectos.</w:t>
      </w:r>
      <w:r>
        <w:t xml:space="preserve"> Un actor divide una intervención para obtener más cupos o parecer menos costosa. La revisión identifica dependencias y costo total de la solución. No se elige un componente que carece de utilidad sin otros que no están financiados.</w:t>
      </w:r>
    </w:p>
    <w:p>
      <w:r>
        <w:rPr>
          <w:b/>
        </w:rPr>
        <w:t>Exceso de proyectos pequeños.</w:t>
      </w:r>
      <w:r>
        <w:t xml:space="preserve"> Reservar demasiadas partidas territoriales impide financiar una red regional más efectiva. Se comparan carteras y beneficios distribuidos; una reserva debe tener propósito, justificación y revisión, preservando compromisos válidamente adquiridos. Proteger visibilidad no exige atomizar toda la inversión.</w:t>
      </w:r>
    </w:p>
    <w:p>
      <w:r>
        <w:rPr>
          <w:b/>
        </w:rPr>
        <w:t>Gobierno sin compromiso de respuesta.</w:t>
      </w:r>
      <w:r>
        <w:t xml:space="preserve"> Se pueden recoger ideas como iniciativa cívica y producir evidencia pública, pero debe describirse así. Sin una autoridad que reciba, tramite y rinda cuentas, no corresponde prometer influencia institucional o financiación.</w:t>
      </w:r>
    </w:p>
    <w:p>
      <w:r>
        <w:rPr>
          <w:b/>
        </w:rPr>
        <w:t>Cambio de administración.</w:t>
      </w:r>
      <w:r>
        <w:t xml:space="preserve"> Los compromisos y necesidades pendientes se entregan con expediente, fundamento, presupuesto y estado. Se separan obligaciones ya adquiridas de recomendaciones todavía abiertas a revisión política. La continuidad se protege con instrumentos válidos y trazabilidad, sin afirmar que toda promesa obliga a gobiernos futuros.</w:t>
      </w:r>
    </w:p>
    <w:p>
      <w:r>
        <w:rPr>
          <w:b/>
        </w:rPr>
        <w:t>Amenazas o represalias.</w:t>
      </w:r>
      <w:r>
        <w:t xml:space="preserve"> Se ajustan localización, publicidad y canales. Puede posponerse una actividad presencial o hacerse una recepción protegida. El éxito del proceso no justifica exponer a una persona para demostrar estadísticamente que su grupo participó.</w:t>
      </w:r>
    </w:p>
    <w:p>
      <w:pPr>
        <w:pStyle w:val="Heading1"/>
      </w:pPr>
      <w:r>
        <w:t>14 Cómo validar el modelo en un piloto</w:t>
      </w:r>
    </w:p>
    <w:p>
      <w:pPr>
        <w:pStyle w:val="Heading2"/>
      </w:pPr>
      <w:r>
        <w:t>14.1 Alcance y etapas</w:t>
      </w:r>
    </w:p>
    <w:p>
      <w:r>
        <w:t>Se recomienda comenzar con un conjunto pequeño de contextos contrastantes: una zona urbana con desigualdades internas, un municipio rural y una comunidad dispersa; cuando sea pertinente, incorporar un territorio étnico mediante un proceso acordado con sus autoridades. La selección sería intencional para aprender sobre mecanismos y barreras, sin presentarla como muestra representativa de Colombia.</w:t>
      </w:r>
    </w:p>
    <w:p>
      <w:r>
        <w:t>El piloto debe tener una decisión concreta, una entidad responsable y capacidad real para tramitar resultados. Como hipótesis operativa, un ciclo de 16 semanas puede distribuirse en cuatro de preparación y diagnóstico de acceso, cuatro de escucha, cuatro de alternativas y deliberación, y cuatro de decisión y devolución. Esta duración es una propuesta inicial: seguridad, distancias, consulta y presupuestos pueden exigir ajustes.</w:t>
      </w:r>
    </w:p>
    <w:p>
      <w:r>
        <w:t>Antes de abrir la convocatoria se comprueban competencia, fuente para el proceso, acceso de poblaciones difíciles de alcanzar y canales de respuesta. Antes de votar se comprueban costos, criterios, elegibilidad, fichas y revisión de exclusiones. Antes de anunciar financiación se verifica la adopción y disponibilidad correspondiente. Ninguno de esos hitos equivale por sí mismo a resultado social logrado.</w:t>
      </w:r>
    </w:p>
    <w:p>
      <w:pPr>
        <w:pStyle w:val="Heading2"/>
      </w:pPr>
      <w:r>
        <w:t>14.2 Indicadores que permiten detectar exclusión</w:t>
      </w:r>
    </w:p>
    <w:tbl>
      <w:tblPr>
        <w:tblW w:type="auto" w:w="0"/>
        <w:jc w:val="center"/>
        <w:tblLayout w:type="fixed"/>
        <w:tblLook w:firstColumn="1" w:firstRow="1" w:lastColumn="0" w:lastRow="0" w:noHBand="0" w:noVBand="1" w:val="04A0"/>
      </w:tblPr>
      <w:tblGrid>
        <w:gridCol w:w="2430"/>
        <w:gridCol w:w="3596"/>
        <w:gridCol w:w="3694"/>
      </w:tblGrid>
      <w:tr>
        <w:trPr>
          <w:cantSplit/>
          <w:tblHeader/>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Dimensión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Indicador propuesto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8E8"/>
          </w:tcPr>
          <w:p>
            <w:pPr>
              <w:keepNext/>
              <w:spacing w:after="80" w:before="80" w:line="245" w:lineRule="auto"/>
            </w:pPr>
            <w:r>
              <w:rPr>
                <w:b/>
                <w:sz w:val="19"/>
              </w:rPr>
              <w:t>Precaución de interpretación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Cobertura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Contextos previstos con oportunidad de participación comprobada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Una invitación enviada no demuestra acceso real</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Participación</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Personas únicas por canal y contexto, cuando sea lícito medirlo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No confundir aportes con personas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Equidad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Diferencias entre grupos en ingreso, revisión, selección y respuesta</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Reportar conteos y causas; evitar porcentajes inestables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Fidelidad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Casos revisados donde la síntesis conserva la necesidad original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Auditoría que incluya idiomas y propuestas poco frecuentes</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Trazabilidad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Necesidades evaluadas con decisión, motivo y siguiente paso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Una respuesta automática no equivale a evaluación</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Capacidad</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Tiempo y costo por necesidad evaluada, incluida captación presencial</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No premiar excluir a quienes son más costosos de escuchar</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Incidencia</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Cambios comprobables en diagnóstico, alternativa, presupuesto o ejecución</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La coincidencia temática no demuestra causalidad</w:t>
            </w:r>
          </w:p>
        </w:tc>
      </w:tr>
      <w:tr>
        <w:trPr>
          <w:cantSplit/>
        </w:trPr>
        <w:tc>
          <w:tcPr>
            <w:tcW w:type="dxa" w:w="2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Resultados</w:t>
            </w:r>
          </w:p>
        </w:tc>
        <w:tc>
          <w:tcPr>
            <w:tcW w:type="dxa" w:w="35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Cambio observado en la necesidad y distribución del beneficio</w:t>
            </w:r>
          </w:p>
        </w:tc>
        <w:tc>
          <w:tcPr>
            <w:tcW w:type="dxa" w:w="36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80" w:before="80" w:line="245" w:lineRule="auto"/>
            </w:pPr>
            <w:r>
              <w:rPr>
                <w:b w:val="0"/>
                <w:sz w:val="19"/>
              </w:rPr>
              <w:t>Separar avance físico, gasto y bienestar</w:t>
            </w:r>
          </w:p>
        </w:tc>
      </w:tr>
    </w:tbl>
    <w:p>
      <w:pPr>
        <w:spacing w:after="0"/>
      </w:pPr>
    </w:p>
    <w:p>
      <w:r>
        <w:t>Para evaluar la protección de grupos pequeños conviene seguir el embudo completo: cuántas necesidades ingresan, se agrupan, se evalúan, reciben respuesta y llegan a ejecución en cada contexto. Una brecha de selección requiere explicación; no prueba por sí sola discriminación, pues pueden existir diferencias de competencia, costo o urgencia. La auditoría debe verificar esas razones.</w:t>
      </w:r>
    </w:p>
    <w:p>
      <w:r>
        <w:t>La incidencia necesita evidencia de cambio: versión anterior y posterior de una decisión, motivo registrado y relación con el aporte. «El plan habla de agua» es una evidencia mucho más débil que «se cambió el criterio de elegibilidad y se incluyó a comunidades dispersas a partir de estas observaciones».</w:t>
      </w:r>
    </w:p>
    <w:p>
      <w:pPr>
        <w:pStyle w:val="Heading2"/>
      </w:pPr>
      <w:r>
        <w:t>14.3 Evaluación y condiciones para ampliar</w:t>
      </w:r>
    </w:p>
    <w:p>
      <w:r>
        <w:t>La evaluación combina entrevistas a participantes y ausentes, revisión de expedientes, observación de deliberaciones y seguimiento de decisiones. Pueden compararse modalidades de invitación o devolución, siempre sin retirar garantías indispensables. Las diferencias antes y después no deben atribuirse automáticamente al mecanismo; cambios administrativos o presupuestales pueden explicarlas.</w:t>
      </w:r>
    </w:p>
    <w:p>
      <w:r>
        <w:t>Se ampliaría el modelo si demuestra recepción accesible, fidelidad de síntesis, decisiones justificadas y capacidad institucional sostenible. Se rediseñaría si la búsqueda activa no alcanza a grupos previstos, el sistema acumula entradas sin respuesta, hay exclusiones sin revisar o el presupuesto de participación se consume en tecnología sin cobertura territorial suficiente. Los umbrales cuantitativos se fijan antes del piloto a partir de capacidad y línea base.</w:t>
      </w:r>
    </w:p>
    <w:p>
      <w:r>
        <w:t>El presupuesto de operación debe incluir convocatoria, facilitación, desplazamientos, traducción, accesibilidad, cuidado, verificación técnica, protección de datos, revisión independiente y mantenimiento. El costo de formular proyectos y el costo de ejecutarlos se contabilizan por separado. No hay un costo nacional defendible sin especificar alcance, distancias, canales, volumen y estándares de servicio.</w:t>
      </w:r>
    </w:p>
    <w:p>
      <w:pPr>
        <w:pStyle w:val="Heading1"/>
      </w:pPr>
      <w:r>
        <w:t>15 Decisiones que pueden adoptarse y decisiones que requieren habilitación</w:t>
      </w:r>
    </w:p>
    <w:p>
      <w:r>
        <w:t>Una iniciativa cívica puede organizar escucha voluntaria, sistematizar necesidades y presentar recomendaciones, con protección de datos y claridad sobre su alcance. Una entidad puede mejorar sus procedimientos participativos dentro de sus competencias y recursos. En ambos casos son implementables la conservación de originales, el seguimiento de remisiones y la publicación de razones.</w:t>
      </w:r>
    </w:p>
    <w:p>
      <w:r>
        <w:t>Reservar una porción de inversión, convertir una priorización en compromiso presupuestal, alterar instancias legales o imponer obligaciones entre entidades requiere comprobar la habilitación y adoptar los instrumentos correspondientes. No debe afirmarse que todo se logra con una resolución ni que siempre exige una nueva ley: la ruta depende de la decisión, la autoridad y el régimen aplicable.</w:t>
      </w:r>
    </w:p>
    <w:p>
      <w:r>
        <w:t>En consecuencia, el primer entregable institucional debe ser una matriz de decisiones y competencias para el ámbito escogido. Para cada decisión registrará quién propone, quién evalúa, quién adopta, quién financia, qué instrumento se requiere y cómo puede revisarse. Esta matriz vuelve concreta la promesa de participación antes de desarrollar o contratar tecnología.</w:t>
      </w:r>
    </w:p>
    <w:p>
      <w:pPr>
        <w:pStyle w:val="Heading1"/>
      </w:pPr>
      <w:r>
        <w:t>16 Síntesis refinada y alcance de las conclusiones</w:t>
      </w:r>
    </w:p>
    <w:p>
      <w:r>
        <w:t>La versión refinada organiza necesidades por contexto y competencia, preserva su origen y permite escalar evidencia sin obligar a todas las ideas a ascender por una cadena de filtros. Combina apertura con búsqueda activa, y preferencias ciudadanas con evaluación de obligaciones, alternativas y restricciones financieras. La selección final se expresa como decisiones motivadas y carteras ejecutables.</w:t>
      </w:r>
    </w:p>
    <w:p>
      <w:r>
        <w:t>Su regla central es garantizar a las comunidades pequeñas acceso, evaluación, respuesta y seguimiento, sin convertir el tamaño reducido en una prioridad automática. Esa garantía también protege a grupos urbanos vulnerables y a voces disidentes dentro de comunidades. La protección efectiva depende de quién llega a la agenda y de quién recibe el resultado, además de cómo se cuentan los apoyos.</w:t>
      </w:r>
    </w:p>
    <w:p>
      <w:r>
        <w:t>La investigación documental respalda la existencia de los instrumentos descritos y ofrece precedentes de participación territorial, deliberación y trazabilidad. Las pruebas de escritorio muestran fallas de reglas simplificadas y consecuencias de restricciones presupuestales. No establecen una ponderación óptima, un porcentaje nacional de reservas, un tamaño único de panel ni eficacia causal del modelo propuesto.</w:t>
      </w:r>
    </w:p>
    <w:p>
      <w:r>
        <w:t>La hipótesis que queda por comprobar es si esta combinación mejora inclusión e incidencia a un costo sostenible en contextos colombianos concretos. La decisión recomendada es validar primero una ruta completa —desde una necesidad hasta una respuesta institucional y su seguimiento— en un ámbito acotado. El valor del sistema dependerá de que una persona pueda entender qué se decidió sobre su necesidad, por qué y qué puede hacer después.</w:t>
      </w:r>
    </w:p>
    <w:p>
      <w:pPr>
        <w:pStyle w:val="Heading1"/>
      </w:pPr>
      <w:r>
        <w:t>Fuentes</w:t>
      </w:r>
    </w:p>
    <w:p>
      <w:r>
        <w:t>Las referencias normativas remiten a textos compilados y a los artículos indicados. Los datos de participación describen el período de cada fuente. Las recomendaciones, ejemplos ficticios y pruebas de escritorio son elaboración analítica propia.</w:t>
      </w:r>
    </w:p>
    <w:p>
      <w:pPr>
        <w:spacing w:after="160"/>
      </w:pPr>
      <w:r>
        <w:rPr>
          <w:sz w:val="19"/>
        </w:rPr>
        <w:t xml:space="preserve">1. DNP. </w:t>
      </w:r>
      <w:hyperlink r:id="rId9">
        <w:r>
          <w:rPr>
            <w:u w:val="single"/>
          </w:rPr>
          <w:t>Comunicado a la opinión pública</w:t>
        </w:r>
      </w:hyperlink>
      <w:r>
        <w:rPr>
          <w:sz w:val="19"/>
        </w:rPr>
        <w:t>. 28 de agosto de 2026. Estado preliminar de la construcción del PND 2026–2030.</w:t>
      </w:r>
    </w:p>
    <w:p>
      <w:pPr>
        <w:spacing w:after="160"/>
      </w:pPr>
      <w:r>
        <w:rPr>
          <w:sz w:val="19"/>
        </w:rPr>
        <w:t xml:space="preserve">2. Asamblea Nacional Constituyente. </w:t>
      </w:r>
      <w:hyperlink r:id="rId10">
        <w:r>
          <w:rPr>
            <w:u w:val="single"/>
          </w:rPr>
          <w:t>Constitución Política de Colombia</w:t>
        </w:r>
      </w:hyperlink>
      <w:r>
        <w:rPr>
          <w:sz w:val="19"/>
        </w:rPr>
        <w:t>. 1991, texto compilado. Artículos 287 y 339–344; estructura, autonomía y sistema de planeación.</w:t>
      </w:r>
    </w:p>
    <w:p>
      <w:pPr>
        <w:spacing w:after="160"/>
      </w:pPr>
      <w:r>
        <w:rPr>
          <w:sz w:val="19"/>
        </w:rPr>
        <w:t xml:space="preserve">3. Congreso de Colombia. </w:t>
      </w:r>
      <w:hyperlink r:id="rId11">
        <w:r>
          <w:rPr>
            <w:u w:val="single"/>
          </w:rPr>
          <w:t>Ley 2294 de 2023</w:t>
        </w:r>
      </w:hyperlink>
      <w:r>
        <w:rPr>
          <w:sz w:val="19"/>
        </w:rPr>
        <w:t>. 19 de mayo de 2023, texto compilado. Artículos 1–3; Bases incorporadas al PND y transformaciones.</w:t>
      </w:r>
    </w:p>
    <w:p>
      <w:pPr>
        <w:spacing w:after="160"/>
      </w:pPr>
      <w:r>
        <w:rPr>
          <w:sz w:val="19"/>
        </w:rPr>
        <w:t xml:space="preserve">4. Congreso de Colombia. </w:t>
      </w:r>
      <w:hyperlink r:id="rId12">
        <w:r>
          <w:rPr>
            <w:u w:val="single"/>
          </w:rPr>
          <w:t>Ley 152 de 1994</w:t>
        </w:r>
      </w:hyperlink>
      <w:r>
        <w:rPr>
          <w:sz w:val="19"/>
        </w:rPr>
        <w:t>. 15 de julio de 1994, texto compilado. Artículos 13–22 y 39–40; elaboración, conceptos y aprobación.</w:t>
      </w:r>
    </w:p>
    <w:p>
      <w:pPr>
        <w:spacing w:after="160"/>
      </w:pPr>
      <w:r>
        <w:rPr>
          <w:sz w:val="19"/>
        </w:rPr>
        <w:t xml:space="preserve">5. DNP. </w:t>
      </w:r>
      <w:hyperlink r:id="rId13">
        <w:r>
          <w:rPr>
            <w:u w:val="single"/>
          </w:rPr>
          <w:t>Sistema Nacional de Planeación</w:t>
        </w:r>
      </w:hyperlink>
      <w:r>
        <w:rPr>
          <w:sz w:val="19"/>
        </w:rPr>
        <w:t>. s. f., consulta septiembre de 2026. Relación CNP, CTP y apoyo institucional.</w:t>
      </w:r>
    </w:p>
    <w:p>
      <w:pPr>
        <w:spacing w:after="160"/>
      </w:pPr>
      <w:r>
        <w:rPr>
          <w:sz w:val="19"/>
        </w:rPr>
        <w:t xml:space="preserve">6. DNP. </w:t>
      </w:r>
      <w:hyperlink r:id="rId14">
        <w:r>
          <w:rPr>
            <w:u w:val="single"/>
          </w:rPr>
          <w:t>Preguntas frecuentes de desarrollo territorial</w:t>
        </w:r>
      </w:hyperlink>
      <w:r>
        <w:rPr>
          <w:sz w:val="19"/>
        </w:rPr>
        <w:t>. s. f.. Alcance no obligatorio de las recomendaciones y apoyo a CTP.</w:t>
      </w:r>
    </w:p>
    <w:p>
      <w:pPr>
        <w:spacing w:after="160"/>
      </w:pPr>
      <w:r>
        <w:rPr>
          <w:sz w:val="19"/>
        </w:rPr>
        <w:t xml:space="preserve">7. DNP. </w:t>
      </w:r>
      <w:hyperlink r:id="rId15">
        <w:r>
          <w:rPr>
            <w:u w:val="single"/>
          </w:rPr>
          <w:t>Guía de Plan Indicativo</w:t>
        </w:r>
      </w:hyperlink>
      <w:r>
        <w:rPr>
          <w:sz w:val="19"/>
        </w:rPr>
        <w:t>. 2025, según ficha de publicación. Articulación con POAI y presupuesto anual.</w:t>
      </w:r>
    </w:p>
    <w:p>
      <w:pPr>
        <w:spacing w:after="160"/>
      </w:pPr>
      <w:r>
        <w:rPr>
          <w:sz w:val="19"/>
        </w:rPr>
        <w:t xml:space="preserve">8. DNP. </w:t>
      </w:r>
      <w:hyperlink r:id="rId16">
        <w:r>
          <w:rPr>
            <w:u w:val="single"/>
          </w:rPr>
          <w:t>Manuales de inversión pública</w:t>
        </w:r>
      </w:hyperlink>
      <w:r>
        <w:rPr>
          <w:sz w:val="19"/>
        </w:rPr>
        <w:t>. s. f., consulta septiembre de 2026. Función de la Metodología General Ajustada.</w:t>
      </w:r>
    </w:p>
    <w:p>
      <w:pPr>
        <w:spacing w:after="160"/>
      </w:pPr>
      <w:r>
        <w:rPr>
          <w:sz w:val="19"/>
        </w:rPr>
        <w:t xml:space="preserve">9. DNP. </w:t>
      </w:r>
      <w:hyperlink r:id="rId17">
        <w:r>
          <w:rPr>
            <w:u w:val="single"/>
          </w:rPr>
          <w:t>Guía de seguimiento a políticas públicas</w:t>
        </w:r>
      </w:hyperlink>
      <w:r>
        <w:rPr>
          <w:sz w:val="19"/>
        </w:rPr>
        <w:t>. 2025. Cadena de valor y seguimiento de resultados.</w:t>
      </w:r>
    </w:p>
    <w:p>
      <w:pPr>
        <w:spacing w:after="160"/>
      </w:pPr>
      <w:r>
        <w:rPr>
          <w:sz w:val="19"/>
        </w:rPr>
        <w:t xml:space="preserve">10. Congreso de Colombia. </w:t>
      </w:r>
      <w:hyperlink r:id="rId18">
        <w:r>
          <w:rPr>
            <w:u w:val="single"/>
          </w:rPr>
          <w:t>Ley 388 de 1997</w:t>
        </w:r>
      </w:hyperlink>
      <w:r>
        <w:rPr>
          <w:sz w:val="19"/>
        </w:rPr>
        <w:t>. 18 de julio de 1997, texto compilado. Artículos 9–10; POT y determinantes de ordenamiento.</w:t>
      </w:r>
    </w:p>
    <w:p>
      <w:pPr>
        <w:spacing w:after="160"/>
      </w:pPr>
      <w:r>
        <w:rPr>
          <w:sz w:val="19"/>
        </w:rPr>
        <w:t xml:space="preserve">11. Congreso de Colombia. </w:t>
      </w:r>
      <w:hyperlink r:id="rId19">
        <w:r>
          <w:rPr>
            <w:u w:val="single"/>
          </w:rPr>
          <w:t>Ley 2056 de 2020</w:t>
        </w:r>
      </w:hyperlink>
      <w:r>
        <w:rPr>
          <w:sz w:val="19"/>
        </w:rPr>
        <w:t>. 30 de septiembre de 2020, texto compilado. Artículo 30; planeación de inversiones con cargo al SGR.</w:t>
      </w:r>
    </w:p>
    <w:p>
      <w:pPr>
        <w:spacing w:after="160"/>
      </w:pPr>
      <w:r>
        <w:rPr>
          <w:sz w:val="19"/>
        </w:rPr>
        <w:t xml:space="preserve">12. Presidencia de Colombia. </w:t>
      </w:r>
      <w:hyperlink r:id="rId20">
        <w:r>
          <w:rPr>
            <w:u w:val="single"/>
          </w:rPr>
          <w:t>Decreto 111 de 1996</w:t>
        </w:r>
      </w:hyperlink>
      <w:r>
        <w:rPr>
          <w:sz w:val="19"/>
        </w:rPr>
        <w:t>. 15 de enero de 1996, texto compilado. Estatuto Orgánico del Presupuesto; artículo 68.</w:t>
      </w:r>
    </w:p>
    <w:p>
      <w:pPr>
        <w:spacing w:after="160"/>
      </w:pPr>
      <w:r>
        <w:rPr>
          <w:sz w:val="19"/>
        </w:rPr>
        <w:t xml:space="preserve">13. Corte Constitucional. </w:t>
      </w:r>
      <w:hyperlink r:id="rId21">
        <w:r>
          <w:rPr>
            <w:u w:val="single"/>
          </w:rPr>
          <w:t>Sentencia C 117 de 2024</w:t>
        </w:r>
      </w:hyperlink>
      <w:r>
        <w:rPr>
          <w:sz w:val="19"/>
        </w:rPr>
        <w:t>. 11 de abril de 2024. Unidad de materia y conexidad de disposiciones instrumentales del PND.</w:t>
      </w:r>
    </w:p>
    <w:p>
      <w:pPr>
        <w:spacing w:after="160"/>
      </w:pPr>
      <w:r>
        <w:rPr>
          <w:sz w:val="19"/>
        </w:rPr>
        <w:t xml:space="preserve">14. Congreso de Colombia. </w:t>
      </w:r>
      <w:hyperlink r:id="rId22">
        <w:r>
          <w:rPr>
            <w:u w:val="single"/>
          </w:rPr>
          <w:t>Ley 1757 de 2015</w:t>
        </w:r>
      </w:hyperlink>
      <w:r>
        <w:rPr>
          <w:sz w:val="19"/>
        </w:rPr>
        <w:t>. 6 de julio de 2015, texto compilado. Participación democrática y artículos 90–93 de presupuesto participativo.</w:t>
      </w:r>
    </w:p>
    <w:p>
      <w:pPr>
        <w:spacing w:after="160"/>
      </w:pPr>
      <w:r>
        <w:rPr>
          <w:sz w:val="19"/>
        </w:rPr>
        <w:t xml:space="preserve">15. Congreso de Colombia. </w:t>
      </w:r>
      <w:hyperlink r:id="rId23">
        <w:r>
          <w:rPr>
            <w:u w:val="single"/>
          </w:rPr>
          <w:t>Ley 850 de 2003</w:t>
        </w:r>
      </w:hyperlink>
      <w:r>
        <w:rPr>
          <w:sz w:val="19"/>
        </w:rPr>
        <w:t>. 18 de noviembre de 2003, texto compilado. Veedurías ciudadanas y vigilancia de gestión pública.</w:t>
      </w:r>
    </w:p>
    <w:p>
      <w:pPr>
        <w:spacing w:after="160"/>
      </w:pPr>
      <w:r>
        <w:rPr>
          <w:sz w:val="19"/>
        </w:rPr>
        <w:t xml:space="preserve">16. Corte Constitucional. </w:t>
      </w:r>
      <w:hyperlink r:id="rId24">
        <w:r>
          <w:rPr>
            <w:u w:val="single"/>
          </w:rPr>
          <w:t>Sentencia SU 123 de 2018</w:t>
        </w:r>
      </w:hyperlink>
      <w:r>
        <w:rPr>
          <w:sz w:val="19"/>
        </w:rPr>
        <w:t>. 15 de noviembre de 2018. Consulta previa y afectación directa a pueblos étnicos.</w:t>
      </w:r>
    </w:p>
    <w:p>
      <w:pPr>
        <w:spacing w:after="160"/>
      </w:pPr>
      <w:r>
        <w:rPr>
          <w:sz w:val="19"/>
        </w:rPr>
        <w:t xml:space="preserve">17. DNP. </w:t>
      </w:r>
      <w:hyperlink r:id="rId25">
        <w:r>
          <w:rPr>
            <w:u w:val="single"/>
          </w:rPr>
          <w:t>DNP publica resultados de los Diálogos Regionales Vinculantes</w:t>
        </w:r>
      </w:hyperlink>
      <w:r>
        <w:rPr>
          <w:sz w:val="19"/>
        </w:rPr>
        <w:t>. 6 de febrero de 2023. 51 encuentros, cerca de 250.000 personas y 89.788 propuestas reportadas.</w:t>
      </w:r>
    </w:p>
    <w:p>
      <w:pPr>
        <w:spacing w:after="160"/>
      </w:pPr>
      <w:r>
        <w:rPr>
          <w:sz w:val="19"/>
        </w:rPr>
        <w:t xml:space="preserve">18. DNP. </w:t>
      </w:r>
      <w:hyperlink r:id="rId26">
        <w:r>
          <w:rPr>
            <w:u w:val="single"/>
          </w:rPr>
          <w:t>DNP da a conocer todos los retos y propuestas planteados por la ciudadanía durante los Diálogos Regionales Vinculantes</w:t>
        </w:r>
      </w:hyperlink>
      <w:r>
        <w:rPr>
          <w:sz w:val="19"/>
        </w:rPr>
        <w:t>. 28 de junio de 2023. Publicación de bases de retos y propuestas.</w:t>
      </w:r>
    </w:p>
    <w:p>
      <w:pPr>
        <w:spacing w:after="160"/>
      </w:pPr>
      <w:r>
        <w:rPr>
          <w:sz w:val="19"/>
        </w:rPr>
        <w:t xml:space="preserve">19. Agencia de Renovación del Territorio. </w:t>
      </w:r>
      <w:hyperlink r:id="rId27">
        <w:r>
          <w:rPr>
            <w:u w:val="single"/>
          </w:rPr>
          <w:t>Manual operativo para la estructuración de proyectos DEEP versión 4</w:t>
        </w:r>
      </w:hyperlink>
      <w:r>
        <w:rPr>
          <w:sz w:val="19"/>
        </w:rPr>
        <w:t>. 29 de diciembre de 2023. Ruta veredal, municipal y subregional; iniciativas de gestión y de inversión.</w:t>
      </w:r>
    </w:p>
    <w:p>
      <w:pPr>
        <w:spacing w:after="160"/>
      </w:pPr>
      <w:r>
        <w:rPr>
          <w:sz w:val="19"/>
        </w:rPr>
        <w:t xml:space="preserve">20. Alcaldía de Medellín. </w:t>
      </w:r>
      <w:hyperlink r:id="rId28">
        <w:r>
          <w:rPr>
            <w:u w:val="single"/>
          </w:rPr>
          <w:t>Sabes qué es el Presupuesto Participativo</w:t>
        </w:r>
      </w:hyperlink>
      <w:r>
        <w:rPr>
          <w:sz w:val="19"/>
        </w:rPr>
        <w:t>. 2024. Reglas divulgadas para 2024; 5 por ciento de libre inversión y equidad territorial.</w:t>
      </w:r>
    </w:p>
    <w:p>
      <w:pPr>
        <w:spacing w:after="160"/>
      </w:pPr>
      <w:r>
        <w:rPr>
          <w:sz w:val="19"/>
        </w:rPr>
        <w:t xml:space="preserve">21. Ministério do Planejamento e Orçamento de Brasil. </w:t>
      </w:r>
      <w:hyperlink r:id="rId29">
        <w:r>
          <w:rPr>
            <w:u w:val="single"/>
          </w:rPr>
          <w:t>Plataforma Brasil Participativo recebe mais de 4 milhões de acessos e quase 1,5 milhão de votos em 2 meses</w:t>
        </w:r>
      </w:hyperlink>
      <w:r>
        <w:rPr>
          <w:sz w:val="19"/>
        </w:rPr>
        <w:t>. julio de 2023. Participación digital y plenarias del PPA 2024–2027.</w:t>
      </w:r>
    </w:p>
    <w:p>
      <w:pPr>
        <w:spacing w:after="160"/>
      </w:pPr>
      <w:r>
        <w:rPr>
          <w:sz w:val="19"/>
        </w:rPr>
        <w:t xml:space="preserve">22. Citizens’ Assembly de Irlanda. </w:t>
      </w:r>
      <w:hyperlink r:id="rId30">
        <w:r>
          <w:rPr>
            <w:u w:val="single"/>
          </w:rPr>
          <w:t>Selection of Members de la asamblea 2016–2018</w:t>
        </w:r>
      </w:hyperlink>
      <w:r>
        <w:rPr>
          <w:sz w:val="19"/>
        </w:rPr>
        <w:t>. archivo del proceso 2016–2018. 99 ciudadanos, presidencia, reemplazos y siete reclutamientos irregulares.</w:t>
      </w:r>
    </w:p>
    <w:p>
      <w:pPr>
        <w:spacing w:after="160"/>
      </w:pPr>
      <w:r>
        <w:rPr>
          <w:sz w:val="19"/>
        </w:rPr>
        <w:t xml:space="preserve">23. OCDE. </w:t>
      </w:r>
      <w:hyperlink r:id="rId31">
        <w:r>
          <w:rPr>
            <w:u w:val="single"/>
          </w:rPr>
          <w:t>Innovative Citizen Participation and New Democratic Institutions</w:t>
        </w:r>
      </w:hyperlink>
      <w:r>
        <w:rPr>
          <w:sz w:val="19"/>
        </w:rPr>
        <w:t>. 10 de junio de 2020. Evidencia comparada y principios de deliberación representativa.</w:t>
      </w:r>
    </w:p>
    <w:p>
      <w:pPr>
        <w:spacing w:after="160"/>
      </w:pPr>
      <w:r>
        <w:rPr>
          <w:sz w:val="19"/>
        </w:rPr>
        <w:t xml:space="preserve">24. OCDE. </w:t>
      </w:r>
      <w:hyperlink r:id="rId32">
        <w:r>
          <w:rPr>
            <w:u w:val="single"/>
          </w:rPr>
          <w:t>OECD Guidelines for Citizen Participation Processes</w:t>
        </w:r>
      </w:hyperlink>
      <w:r>
        <w:rPr>
          <w:sz w:val="19"/>
        </w:rPr>
        <w:t>. 24 de septiembre de 2022. Diseño, canales presenciales y digitales, devolución de resultados.</w:t>
      </w:r>
    </w:p>
    <w:p>
      <w:pPr>
        <w:spacing w:after="160"/>
      </w:pPr>
      <w:r>
        <w:rPr>
          <w:sz w:val="19"/>
        </w:rPr>
        <w:t xml:space="preserve">25. DANE. </w:t>
      </w:r>
      <w:hyperlink r:id="rId33">
        <w:r>
          <w:rPr>
            <w:u w:val="single"/>
          </w:rPr>
          <w:t>Encuesta de Tecnologías de la Información y las Comunicaciones en Hogares 2024</w:t>
        </w:r>
      </w:hyperlink>
      <w:r>
        <w:rPr>
          <w:sz w:val="19"/>
        </w:rPr>
        <w:t>. 1 de agosto de 2025. Conexión de hogares; datos del módulo TIC de la ECV 2024.</w:t>
      </w:r>
    </w:p>
    <w:p>
      <w:pPr>
        <w:spacing w:after="160"/>
      </w:pPr>
      <w:r>
        <w:rPr>
          <w:sz w:val="19"/>
        </w:rPr>
        <w:t xml:space="preserve">26. Decidim. </w:t>
      </w:r>
      <w:hyperlink r:id="rId34">
        <w:r>
          <w:rPr>
            <w:u w:val="single"/>
          </w:rPr>
          <w:t>Accountability management</w:t>
        </w:r>
      </w:hyperlink>
      <w:r>
        <w:rPr>
          <w:sz w:val="19"/>
        </w:rPr>
        <w:t>. documentación v0.32, consulta septiembre de 2026. Enlaces de resultados con propuestas, proyectos, estados e hitos.</w:t>
      </w:r>
    </w:p>
    <w:p>
      <w:pPr>
        <w:spacing w:after="160"/>
      </w:pPr>
      <w:r>
        <w:rPr>
          <w:sz w:val="19"/>
        </w:rPr>
        <w:t xml:space="preserve">27. The Computational Democracy Project. </w:t>
      </w:r>
      <w:hyperlink r:id="rId35">
        <w:r>
          <w:rPr>
            <w:u w:val="single"/>
          </w:rPr>
          <w:t>Opinion groups</w:t>
        </w:r>
      </w:hyperlink>
      <w:r>
        <w:rPr>
          <w:sz w:val="19"/>
        </w:rPr>
        <w:t>. s. f., consulta septiembre de 2026. Grupos de opinión y acuerdos entre grupos en Polis.</w:t>
      </w:r>
    </w:p>
    <w:p>
      <w:pPr>
        <w:spacing w:after="160"/>
      </w:pPr>
      <w:r>
        <w:rPr>
          <w:sz w:val="19"/>
        </w:rPr>
        <w:t xml:space="preserve">28. Congreso de Colombia. </w:t>
      </w:r>
      <w:hyperlink r:id="rId36">
        <w:r>
          <w:rPr>
            <w:u w:val="single"/>
          </w:rPr>
          <w:t>Ley 1581 de 2012</w:t>
        </w:r>
      </w:hyperlink>
      <w:r>
        <w:rPr>
          <w:sz w:val="19"/>
        </w:rPr>
        <w:t>. 17 de octubre de 2012, texto compilado. Datos personales y sensibles; principios y derechos de titulares.</w:t>
      </w:r>
    </w:p>
    <w:p>
      <w:pPr>
        <w:spacing w:after="160"/>
      </w:pPr>
      <w:r>
        <w:rPr>
          <w:sz w:val="19"/>
        </w:rPr>
        <w:t xml:space="preserve">29. Superintendencia de Industria y Comercio. </w:t>
      </w:r>
      <w:hyperlink r:id="rId37">
        <w:r>
          <w:rPr>
            <w:u w:val="single"/>
          </w:rPr>
          <w:t>Tratamiento excepcional y autorización del representante legal con interés superior</w:t>
        </w:r>
      </w:hyperlink>
      <w:r>
        <w:rPr>
          <w:sz w:val="19"/>
        </w:rPr>
        <w:t>. 31 de diciembre de 2025. Estándar reforzado para datos de niños, niñas y adolescentes.</w:t>
      </w:r>
    </w:p>
    <w:p>
      <w:pPr>
        <w:spacing w:after="160"/>
      </w:pPr>
      <w:r>
        <w:rPr>
          <w:sz w:val="19"/>
        </w:rPr>
        <w:t xml:space="preserve">30. Congreso de Colombia. </w:t>
      </w:r>
      <w:hyperlink r:id="rId38">
        <w:r>
          <w:rPr>
            <w:u w:val="single"/>
          </w:rPr>
          <w:t>Ley 1755 de 2015</w:t>
        </w:r>
      </w:hyperlink>
      <w:r>
        <w:rPr>
          <w:sz w:val="19"/>
        </w:rPr>
        <w:t>. 30 de junio de 2015, texto compilado. Derecho de petición; distinguir obligaciones legales de tiempos internos de un proceso.</w:t>
      </w:r>
    </w:p>
    <w:sectPr w:rsidR="00FC693F" w:rsidRPr="0006063C" w:rsidSect="00034616">
      <w:pgSz w:w="11909" w:h="16834"/>
      <w:pgMar w:top="1008" w:right="1094" w:bottom="1008"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spacing w:after="55" w:line="220" w:lineRule="auto"/>
      </w:pPr>
      <w:r>
        <w:rPr>
          <w:sz w:val="17"/>
          <w:vertAlign w:val="superscript"/>
        </w:rPr>
        <w:footnoteRef/>
      </w:r>
      <w:r>
        <w:rPr>
          <w:sz w:val="17"/>
        </w:rPr>
        <w:t xml:space="preserve"> DNP. </w:t>
      </w:r>
      <w:hyperlink r:id="rId1">
        <w:r>
          <w:rPr>
            <w:sz w:val="17"/>
          </w:rPr>
          <w:t xml:space="preserve">Comunicado a la opinión pública</w:t>
        </w:r>
      </w:hyperlink>
      <w:r>
        <w:rPr>
          <w:sz w:val="17"/>
        </w:rPr>
        <w:t xml:space="preserve">. 28 de agosto de 2026.</w:t>
      </w:r>
    </w:p>
  </w:footnote>
  <w:footnote w:id="2">
    <w:p>
      <w:pPr>
        <w:spacing w:after="55" w:line="220" w:lineRule="auto"/>
      </w:pPr>
      <w:r>
        <w:rPr>
          <w:sz w:val="17"/>
          <w:vertAlign w:val="superscript"/>
        </w:rPr>
        <w:footnoteRef/>
      </w:r>
      <w:r>
        <w:rPr>
          <w:sz w:val="17"/>
        </w:rPr>
        <w:t xml:space="preserve"> Asamblea Nacional Constituyente. </w:t>
      </w:r>
      <w:hyperlink r:id="rId2">
        <w:r>
          <w:rPr>
            <w:sz w:val="17"/>
          </w:rPr>
          <w:t xml:space="preserve">Constitución Política de Colombia</w:t>
        </w:r>
      </w:hyperlink>
      <w:r>
        <w:rPr>
          <w:sz w:val="17"/>
        </w:rPr>
        <w:t xml:space="preserve">. 1991, texto compilado.</w:t>
      </w:r>
    </w:p>
  </w:footnote>
  <w:footnote w:id="3">
    <w:p>
      <w:pPr>
        <w:spacing w:after="55" w:line="220" w:lineRule="auto"/>
      </w:pPr>
      <w:r>
        <w:rPr>
          <w:sz w:val="17"/>
          <w:vertAlign w:val="superscript"/>
        </w:rPr>
        <w:footnoteRef/>
      </w:r>
      <w:r>
        <w:rPr>
          <w:sz w:val="17"/>
        </w:rPr>
        <w:t xml:space="preserve"> Congreso de Colombia. </w:t>
      </w:r>
      <w:hyperlink r:id="rId3">
        <w:r>
          <w:rPr>
            <w:sz w:val="17"/>
          </w:rPr>
          <w:t xml:space="preserve">Ley 2294 de 2023</w:t>
        </w:r>
      </w:hyperlink>
      <w:r>
        <w:rPr>
          <w:sz w:val="17"/>
        </w:rPr>
        <w:t xml:space="preserve">. 19 de mayo de 2023, texto compilado.</w:t>
      </w:r>
    </w:p>
  </w:footnote>
  <w:footnote w:id="4">
    <w:p>
      <w:pPr>
        <w:spacing w:after="55" w:line="220" w:lineRule="auto"/>
      </w:pPr>
      <w:r>
        <w:rPr>
          <w:sz w:val="17"/>
          <w:vertAlign w:val="superscript"/>
        </w:rPr>
        <w:footnoteRef/>
      </w:r>
      <w:r>
        <w:rPr>
          <w:sz w:val="17"/>
        </w:rPr>
        <w:t xml:space="preserve"> Congreso de Colombia. </w:t>
      </w:r>
      <w:hyperlink r:id="rId4">
        <w:r>
          <w:rPr>
            <w:sz w:val="17"/>
          </w:rPr>
          <w:t xml:space="preserve">Ley 152 de 1994</w:t>
        </w:r>
      </w:hyperlink>
      <w:r>
        <w:rPr>
          <w:sz w:val="17"/>
        </w:rPr>
        <w:t xml:space="preserve">. 15 de julio de 1994, texto compilado.</w:t>
      </w:r>
    </w:p>
  </w:footnote>
  <w:footnote w:id="5">
    <w:p>
      <w:pPr>
        <w:spacing w:after="55" w:line="220" w:lineRule="auto"/>
      </w:pPr>
      <w:r>
        <w:rPr>
          <w:sz w:val="17"/>
          <w:vertAlign w:val="superscript"/>
        </w:rPr>
        <w:footnoteRef/>
      </w:r>
      <w:r>
        <w:rPr>
          <w:sz w:val="17"/>
        </w:rPr>
        <w:t xml:space="preserve"> DNP. </w:t>
      </w:r>
      <w:hyperlink r:id="rId5">
        <w:r>
          <w:rPr>
            <w:sz w:val="17"/>
          </w:rPr>
          <w:t xml:space="preserve">Sistema Nacional de Planeación</w:t>
        </w:r>
      </w:hyperlink>
      <w:r>
        <w:rPr>
          <w:sz w:val="17"/>
        </w:rPr>
        <w:t xml:space="preserve">. s. f., consulta septiembre de 2026.</w:t>
      </w:r>
    </w:p>
  </w:footnote>
  <w:footnote w:id="6">
    <w:p>
      <w:pPr>
        <w:spacing w:after="55" w:line="220" w:lineRule="auto"/>
      </w:pPr>
      <w:r>
        <w:rPr>
          <w:sz w:val="17"/>
          <w:vertAlign w:val="superscript"/>
        </w:rPr>
        <w:footnoteRef/>
      </w:r>
      <w:r>
        <w:rPr>
          <w:sz w:val="17"/>
        </w:rPr>
        <w:t xml:space="preserve"> DNP. </w:t>
      </w:r>
      <w:hyperlink r:id="rId6">
        <w:r>
          <w:rPr>
            <w:sz w:val="17"/>
          </w:rPr>
          <w:t xml:space="preserve">Preguntas frecuentes de desarrollo territorial</w:t>
        </w:r>
      </w:hyperlink>
      <w:r>
        <w:rPr>
          <w:sz w:val="17"/>
        </w:rPr>
        <w:t xml:space="preserve">. s. f..</w:t>
      </w:r>
    </w:p>
  </w:footnote>
  <w:footnote w:id="7">
    <w:p>
      <w:pPr>
        <w:spacing w:after="55" w:line="220" w:lineRule="auto"/>
      </w:pPr>
      <w:r>
        <w:rPr>
          <w:sz w:val="17"/>
          <w:vertAlign w:val="superscript"/>
        </w:rPr>
        <w:footnoteRef/>
      </w:r>
      <w:r>
        <w:rPr>
          <w:sz w:val="17"/>
        </w:rPr>
        <w:t xml:space="preserve"> DNP. </w:t>
      </w:r>
      <w:hyperlink r:id="rId7">
        <w:r>
          <w:rPr>
            <w:sz w:val="17"/>
          </w:rPr>
          <w:t xml:space="preserve">Guía de Plan Indicativo</w:t>
        </w:r>
      </w:hyperlink>
      <w:r>
        <w:rPr>
          <w:sz w:val="17"/>
        </w:rPr>
        <w:t xml:space="preserve">. 2025, según ficha de publicación.</w:t>
      </w:r>
    </w:p>
  </w:footnote>
  <w:footnote w:id="8">
    <w:p>
      <w:pPr>
        <w:spacing w:after="55" w:line="220" w:lineRule="auto"/>
      </w:pPr>
      <w:r>
        <w:rPr>
          <w:sz w:val="17"/>
          <w:vertAlign w:val="superscript"/>
        </w:rPr>
        <w:footnoteRef/>
      </w:r>
      <w:r>
        <w:rPr>
          <w:sz w:val="17"/>
        </w:rPr>
        <w:t xml:space="preserve"> DNP. </w:t>
      </w:r>
      <w:hyperlink r:id="rId8">
        <w:r>
          <w:rPr>
            <w:sz w:val="17"/>
          </w:rPr>
          <w:t xml:space="preserve">Manuales de inversión pública</w:t>
        </w:r>
      </w:hyperlink>
      <w:r>
        <w:rPr>
          <w:sz w:val="17"/>
        </w:rPr>
        <w:t xml:space="preserve">. s. f., consulta septiembre de 2026.</w:t>
      </w:r>
    </w:p>
  </w:footnote>
  <w:footnote w:id="9">
    <w:p>
      <w:pPr>
        <w:spacing w:after="55" w:line="220" w:lineRule="auto"/>
      </w:pPr>
      <w:r>
        <w:rPr>
          <w:sz w:val="17"/>
          <w:vertAlign w:val="superscript"/>
        </w:rPr>
        <w:footnoteRef/>
      </w:r>
      <w:r>
        <w:rPr>
          <w:sz w:val="17"/>
        </w:rPr>
        <w:t xml:space="preserve"> DNP. </w:t>
      </w:r>
      <w:hyperlink r:id="rId9">
        <w:r>
          <w:rPr>
            <w:sz w:val="17"/>
          </w:rPr>
          <w:t xml:space="preserve">Guía de seguimiento a políticas públicas</w:t>
        </w:r>
      </w:hyperlink>
      <w:r>
        <w:rPr>
          <w:sz w:val="17"/>
        </w:rPr>
        <w:t xml:space="preserve">. 2025.</w:t>
      </w:r>
    </w:p>
  </w:footnote>
  <w:footnote w:id="10">
    <w:p>
      <w:pPr>
        <w:spacing w:after="55" w:line="220" w:lineRule="auto"/>
      </w:pPr>
      <w:r>
        <w:rPr>
          <w:sz w:val="17"/>
          <w:vertAlign w:val="superscript"/>
        </w:rPr>
        <w:footnoteRef/>
      </w:r>
      <w:r>
        <w:rPr>
          <w:sz w:val="17"/>
        </w:rPr>
        <w:t xml:space="preserve"> Congreso de Colombia. </w:t>
      </w:r>
      <w:hyperlink r:id="rId10">
        <w:r>
          <w:rPr>
            <w:sz w:val="17"/>
          </w:rPr>
          <w:t xml:space="preserve">Ley 388 de 1997</w:t>
        </w:r>
      </w:hyperlink>
      <w:r>
        <w:rPr>
          <w:sz w:val="17"/>
        </w:rPr>
        <w:t xml:space="preserve">. 18 de julio de 1997, texto compilado.</w:t>
      </w:r>
    </w:p>
  </w:footnote>
  <w:footnote w:id="11">
    <w:p>
      <w:pPr>
        <w:spacing w:after="55" w:line="220" w:lineRule="auto"/>
      </w:pPr>
      <w:r>
        <w:rPr>
          <w:sz w:val="17"/>
          <w:vertAlign w:val="superscript"/>
        </w:rPr>
        <w:footnoteRef/>
      </w:r>
      <w:r>
        <w:rPr>
          <w:sz w:val="17"/>
        </w:rPr>
        <w:t xml:space="preserve"> Congreso de Colombia. </w:t>
      </w:r>
      <w:hyperlink r:id="rId11">
        <w:r>
          <w:rPr>
            <w:sz w:val="17"/>
          </w:rPr>
          <w:t xml:space="preserve">Ley 2056 de 2020</w:t>
        </w:r>
      </w:hyperlink>
      <w:r>
        <w:rPr>
          <w:sz w:val="17"/>
        </w:rPr>
        <w:t xml:space="preserve">. 30 de septiembre de 2020, texto compilado.</w:t>
      </w:r>
    </w:p>
  </w:footnote>
  <w:footnote w:id="12">
    <w:p>
      <w:pPr>
        <w:spacing w:after="55" w:line="220" w:lineRule="auto"/>
      </w:pPr>
      <w:r>
        <w:rPr>
          <w:sz w:val="17"/>
          <w:vertAlign w:val="superscript"/>
        </w:rPr>
        <w:footnoteRef/>
      </w:r>
      <w:r>
        <w:rPr>
          <w:sz w:val="17"/>
        </w:rPr>
        <w:t xml:space="preserve"> Presidencia de Colombia. </w:t>
      </w:r>
      <w:hyperlink r:id="rId12">
        <w:r>
          <w:rPr>
            <w:sz w:val="17"/>
          </w:rPr>
          <w:t xml:space="preserve">Decreto 111 de 1996</w:t>
        </w:r>
      </w:hyperlink>
      <w:r>
        <w:rPr>
          <w:sz w:val="17"/>
        </w:rPr>
        <w:t xml:space="preserve">. 15 de enero de 1996, texto compilado.</w:t>
      </w:r>
    </w:p>
  </w:footnote>
  <w:footnote w:id="13">
    <w:p>
      <w:pPr>
        <w:spacing w:after="55" w:line="220" w:lineRule="auto"/>
      </w:pPr>
      <w:r>
        <w:rPr>
          <w:sz w:val="17"/>
          <w:vertAlign w:val="superscript"/>
        </w:rPr>
        <w:footnoteRef/>
      </w:r>
      <w:r>
        <w:rPr>
          <w:sz w:val="17"/>
        </w:rPr>
        <w:t xml:space="preserve"> Corte Constitucional. </w:t>
      </w:r>
      <w:hyperlink r:id="rId13">
        <w:r>
          <w:rPr>
            <w:sz w:val="17"/>
          </w:rPr>
          <w:t xml:space="preserve">Sentencia C 117 de 2024</w:t>
        </w:r>
      </w:hyperlink>
      <w:r>
        <w:rPr>
          <w:sz w:val="17"/>
        </w:rPr>
        <w:t xml:space="preserve">. 11 de abril de 2024.</w:t>
      </w:r>
    </w:p>
  </w:footnote>
  <w:footnote w:id="14">
    <w:p>
      <w:pPr>
        <w:spacing w:after="55" w:line="220" w:lineRule="auto"/>
      </w:pPr>
      <w:r>
        <w:rPr>
          <w:sz w:val="17"/>
          <w:vertAlign w:val="superscript"/>
        </w:rPr>
        <w:footnoteRef/>
      </w:r>
      <w:r>
        <w:rPr>
          <w:sz w:val="17"/>
        </w:rPr>
        <w:t xml:space="preserve"> Congreso de Colombia. </w:t>
      </w:r>
      <w:hyperlink r:id="rId14">
        <w:r>
          <w:rPr>
            <w:sz w:val="17"/>
          </w:rPr>
          <w:t xml:space="preserve">Ley 1757 de 2015</w:t>
        </w:r>
      </w:hyperlink>
      <w:r>
        <w:rPr>
          <w:sz w:val="17"/>
        </w:rPr>
        <w:t xml:space="preserve">. 6 de julio de 2015, texto compilado.</w:t>
      </w:r>
    </w:p>
  </w:footnote>
  <w:footnote w:id="15">
    <w:p>
      <w:pPr>
        <w:spacing w:after="55" w:line="220" w:lineRule="auto"/>
      </w:pPr>
      <w:r>
        <w:rPr>
          <w:sz w:val="17"/>
          <w:vertAlign w:val="superscript"/>
        </w:rPr>
        <w:footnoteRef/>
      </w:r>
      <w:r>
        <w:rPr>
          <w:sz w:val="17"/>
        </w:rPr>
        <w:t xml:space="preserve"> Congreso de Colombia. </w:t>
      </w:r>
      <w:hyperlink r:id="rId15">
        <w:r>
          <w:rPr>
            <w:sz w:val="17"/>
          </w:rPr>
          <w:t xml:space="preserve">Ley 850 de 2003</w:t>
        </w:r>
      </w:hyperlink>
      <w:r>
        <w:rPr>
          <w:sz w:val="17"/>
        </w:rPr>
        <w:t xml:space="preserve">. 18 de noviembre de 2003, texto compilado.</w:t>
      </w:r>
    </w:p>
  </w:footnote>
  <w:footnote w:id="16">
    <w:p>
      <w:pPr>
        <w:spacing w:after="55" w:line="220" w:lineRule="auto"/>
      </w:pPr>
      <w:r>
        <w:rPr>
          <w:sz w:val="17"/>
          <w:vertAlign w:val="superscript"/>
        </w:rPr>
        <w:footnoteRef/>
      </w:r>
      <w:r>
        <w:rPr>
          <w:sz w:val="17"/>
        </w:rPr>
        <w:t xml:space="preserve"> Corte Constitucional. </w:t>
      </w:r>
      <w:hyperlink r:id="rId16">
        <w:r>
          <w:rPr>
            <w:sz w:val="17"/>
          </w:rPr>
          <w:t xml:space="preserve">Sentencia SU 123 de 2018</w:t>
        </w:r>
      </w:hyperlink>
      <w:r>
        <w:rPr>
          <w:sz w:val="17"/>
        </w:rPr>
        <w:t xml:space="preserve">. 15 de noviembre de 2018.</w:t>
      </w:r>
    </w:p>
  </w:footnote>
  <w:footnote w:id="17">
    <w:p>
      <w:pPr>
        <w:spacing w:after="55" w:line="220" w:lineRule="auto"/>
      </w:pPr>
      <w:r>
        <w:rPr>
          <w:sz w:val="17"/>
          <w:vertAlign w:val="superscript"/>
        </w:rPr>
        <w:footnoteRef/>
      </w:r>
      <w:r>
        <w:rPr>
          <w:sz w:val="17"/>
        </w:rPr>
        <w:t xml:space="preserve"> DNP. </w:t>
      </w:r>
      <w:hyperlink r:id="rId17">
        <w:r>
          <w:rPr>
            <w:sz w:val="17"/>
          </w:rPr>
          <w:t xml:space="preserve">DNP publica resultados de los Diálogos Regionales Vinculantes</w:t>
        </w:r>
      </w:hyperlink>
      <w:r>
        <w:rPr>
          <w:sz w:val="17"/>
        </w:rPr>
        <w:t xml:space="preserve">. 6 de febrero de 2023.</w:t>
      </w:r>
    </w:p>
  </w:footnote>
  <w:footnote w:id="18">
    <w:p>
      <w:pPr>
        <w:spacing w:after="55" w:line="220" w:lineRule="auto"/>
      </w:pPr>
      <w:r>
        <w:rPr>
          <w:sz w:val="17"/>
          <w:vertAlign w:val="superscript"/>
        </w:rPr>
        <w:footnoteRef/>
      </w:r>
      <w:r>
        <w:rPr>
          <w:sz w:val="17"/>
        </w:rPr>
        <w:t xml:space="preserve"> DNP. </w:t>
      </w:r>
      <w:hyperlink r:id="rId18">
        <w:r>
          <w:rPr>
            <w:sz w:val="17"/>
          </w:rPr>
          <w:t xml:space="preserve">DNP da a conocer todos los retos y propuestas planteados por la ciudadanía durante los Diálogos Regionales Vinculantes</w:t>
        </w:r>
      </w:hyperlink>
      <w:r>
        <w:rPr>
          <w:sz w:val="17"/>
        </w:rPr>
        <w:t xml:space="preserve">. 28 de junio de 2023.</w:t>
      </w:r>
    </w:p>
  </w:footnote>
  <w:footnote w:id="19">
    <w:p>
      <w:pPr>
        <w:spacing w:after="55" w:line="220" w:lineRule="auto"/>
      </w:pPr>
      <w:r>
        <w:rPr>
          <w:sz w:val="17"/>
          <w:vertAlign w:val="superscript"/>
        </w:rPr>
        <w:footnoteRef/>
      </w:r>
      <w:r>
        <w:rPr>
          <w:sz w:val="17"/>
        </w:rPr>
        <w:t xml:space="preserve"> Agencia de Renovación del Territorio. </w:t>
      </w:r>
      <w:hyperlink r:id="rId19">
        <w:r>
          <w:rPr>
            <w:sz w:val="17"/>
          </w:rPr>
          <w:t xml:space="preserve">Manual operativo para la estructuración de proyectos DEEP versión 4</w:t>
        </w:r>
      </w:hyperlink>
      <w:r>
        <w:rPr>
          <w:sz w:val="17"/>
        </w:rPr>
        <w:t xml:space="preserve">. 29 de diciembre de 2023.</w:t>
      </w:r>
    </w:p>
  </w:footnote>
  <w:footnote w:id="20">
    <w:p>
      <w:pPr>
        <w:spacing w:after="55" w:line="220" w:lineRule="auto"/>
      </w:pPr>
      <w:r>
        <w:rPr>
          <w:sz w:val="17"/>
          <w:vertAlign w:val="superscript"/>
        </w:rPr>
        <w:footnoteRef/>
      </w:r>
      <w:r>
        <w:rPr>
          <w:sz w:val="17"/>
        </w:rPr>
        <w:t xml:space="preserve"> Alcaldía de Medellín. </w:t>
      </w:r>
      <w:hyperlink r:id="rId20">
        <w:r>
          <w:rPr>
            <w:sz w:val="17"/>
          </w:rPr>
          <w:t xml:space="preserve">Sabes qué es el Presupuesto Participativo</w:t>
        </w:r>
      </w:hyperlink>
      <w:r>
        <w:rPr>
          <w:sz w:val="17"/>
        </w:rPr>
        <w:t xml:space="preserve">. 2024.</w:t>
      </w:r>
    </w:p>
  </w:footnote>
  <w:footnote w:id="21">
    <w:p>
      <w:pPr>
        <w:spacing w:after="55" w:line="220" w:lineRule="auto"/>
      </w:pPr>
      <w:r>
        <w:rPr>
          <w:sz w:val="17"/>
          <w:vertAlign w:val="superscript"/>
        </w:rPr>
        <w:footnoteRef/>
      </w:r>
      <w:r>
        <w:rPr>
          <w:sz w:val="17"/>
        </w:rPr>
        <w:t xml:space="preserve"> Ministério do Planejamento e Orçamento de Brasil. </w:t>
      </w:r>
      <w:hyperlink r:id="rId21">
        <w:r>
          <w:rPr>
            <w:sz w:val="17"/>
          </w:rPr>
          <w:t xml:space="preserve">Plataforma Brasil Participativo recebe mais de 4 milhões de acessos e quase 1,5 milhão de votos em 2 meses</w:t>
        </w:r>
      </w:hyperlink>
      <w:r>
        <w:rPr>
          <w:sz w:val="17"/>
        </w:rPr>
        <w:t xml:space="preserve">. julio de 2023.</w:t>
      </w:r>
    </w:p>
  </w:footnote>
  <w:footnote w:id="22">
    <w:p>
      <w:pPr>
        <w:spacing w:after="55" w:line="220" w:lineRule="auto"/>
      </w:pPr>
      <w:r>
        <w:rPr>
          <w:sz w:val="17"/>
          <w:vertAlign w:val="superscript"/>
        </w:rPr>
        <w:footnoteRef/>
      </w:r>
      <w:r>
        <w:rPr>
          <w:sz w:val="17"/>
        </w:rPr>
        <w:t xml:space="preserve"> Citizens’ Assembly de Irlanda. </w:t>
      </w:r>
      <w:hyperlink r:id="rId22">
        <w:r>
          <w:rPr>
            <w:sz w:val="17"/>
          </w:rPr>
          <w:t xml:space="preserve">Selection of Members de la asamblea 2016–2018</w:t>
        </w:r>
      </w:hyperlink>
      <w:r>
        <w:rPr>
          <w:sz w:val="17"/>
        </w:rPr>
        <w:t xml:space="preserve">. archivo del proceso 2016–2018.</w:t>
      </w:r>
    </w:p>
  </w:footnote>
  <w:footnote w:id="23">
    <w:p>
      <w:pPr>
        <w:spacing w:after="55" w:line="220" w:lineRule="auto"/>
      </w:pPr>
      <w:r>
        <w:rPr>
          <w:sz w:val="17"/>
          <w:vertAlign w:val="superscript"/>
        </w:rPr>
        <w:footnoteRef/>
      </w:r>
      <w:r>
        <w:rPr>
          <w:sz w:val="17"/>
        </w:rPr>
        <w:t xml:space="preserve"> OCDE. </w:t>
      </w:r>
      <w:hyperlink r:id="rId23">
        <w:r>
          <w:rPr>
            <w:sz w:val="17"/>
          </w:rPr>
          <w:t xml:space="preserve">Innovative Citizen Participation and New Democratic Institutions</w:t>
        </w:r>
      </w:hyperlink>
      <w:r>
        <w:rPr>
          <w:sz w:val="17"/>
        </w:rPr>
        <w:t xml:space="preserve">. 10 de junio de 2020.</w:t>
      </w:r>
    </w:p>
  </w:footnote>
  <w:footnote w:id="24">
    <w:p>
      <w:pPr>
        <w:spacing w:after="55" w:line="220" w:lineRule="auto"/>
      </w:pPr>
      <w:r>
        <w:rPr>
          <w:sz w:val="17"/>
          <w:vertAlign w:val="superscript"/>
        </w:rPr>
        <w:footnoteRef/>
      </w:r>
      <w:r>
        <w:rPr>
          <w:sz w:val="17"/>
        </w:rPr>
        <w:t xml:space="preserve"> OCDE. </w:t>
      </w:r>
      <w:hyperlink r:id="rId24">
        <w:r>
          <w:rPr>
            <w:sz w:val="17"/>
          </w:rPr>
          <w:t xml:space="preserve">OECD Guidelines for Citizen Participation Processes</w:t>
        </w:r>
      </w:hyperlink>
      <w:r>
        <w:rPr>
          <w:sz w:val="17"/>
        </w:rPr>
        <w:t xml:space="preserve">. 24 de septiembre de 2022.</w:t>
      </w:r>
    </w:p>
  </w:footnote>
  <w:footnote w:id="25">
    <w:p>
      <w:pPr>
        <w:spacing w:after="55" w:line="220" w:lineRule="auto"/>
      </w:pPr>
      <w:r>
        <w:rPr>
          <w:sz w:val="17"/>
          <w:vertAlign w:val="superscript"/>
        </w:rPr>
        <w:footnoteRef/>
      </w:r>
      <w:r>
        <w:rPr>
          <w:sz w:val="17"/>
        </w:rPr>
        <w:t xml:space="preserve"> DANE. </w:t>
      </w:r>
      <w:hyperlink r:id="rId25">
        <w:r>
          <w:rPr>
            <w:sz w:val="17"/>
          </w:rPr>
          <w:t xml:space="preserve">Encuesta de Tecnologías de la Información y las Comunicaciones en Hogares 2024</w:t>
        </w:r>
      </w:hyperlink>
      <w:r>
        <w:rPr>
          <w:sz w:val="17"/>
        </w:rPr>
        <w:t xml:space="preserve">. 1 de agosto de 2025.</w:t>
      </w:r>
    </w:p>
  </w:footnote>
  <w:footnote w:id="26">
    <w:p>
      <w:pPr>
        <w:spacing w:after="55" w:line="220" w:lineRule="auto"/>
      </w:pPr>
      <w:r>
        <w:rPr>
          <w:sz w:val="17"/>
          <w:vertAlign w:val="superscript"/>
        </w:rPr>
        <w:footnoteRef/>
      </w:r>
      <w:r>
        <w:rPr>
          <w:sz w:val="17"/>
        </w:rPr>
        <w:t xml:space="preserve"> Decidim. </w:t>
      </w:r>
      <w:hyperlink r:id="rId26">
        <w:r>
          <w:rPr>
            <w:sz w:val="17"/>
          </w:rPr>
          <w:t xml:space="preserve">Accountability management</w:t>
        </w:r>
      </w:hyperlink>
      <w:r>
        <w:rPr>
          <w:sz w:val="17"/>
        </w:rPr>
        <w:t xml:space="preserve">. documentación v0.32, consulta septiembre de 2026.</w:t>
      </w:r>
    </w:p>
  </w:footnote>
  <w:footnote w:id="27">
    <w:p>
      <w:pPr>
        <w:spacing w:after="55" w:line="220" w:lineRule="auto"/>
      </w:pPr>
      <w:r>
        <w:rPr>
          <w:sz w:val="17"/>
          <w:vertAlign w:val="superscript"/>
        </w:rPr>
        <w:footnoteRef/>
      </w:r>
      <w:r>
        <w:rPr>
          <w:sz w:val="17"/>
        </w:rPr>
        <w:t xml:space="preserve"> The Computational Democracy Project. </w:t>
      </w:r>
      <w:hyperlink r:id="rId27">
        <w:r>
          <w:rPr>
            <w:sz w:val="17"/>
          </w:rPr>
          <w:t xml:space="preserve">Opinion groups</w:t>
        </w:r>
      </w:hyperlink>
      <w:r>
        <w:rPr>
          <w:sz w:val="17"/>
        </w:rPr>
        <w:t xml:space="preserve">. s. f., consulta septiembre de 2026.</w:t>
      </w:r>
    </w:p>
  </w:footnote>
  <w:footnote w:id="28">
    <w:p>
      <w:pPr>
        <w:spacing w:after="55" w:line="220" w:lineRule="auto"/>
      </w:pPr>
      <w:r>
        <w:rPr>
          <w:sz w:val="17"/>
          <w:vertAlign w:val="superscript"/>
        </w:rPr>
        <w:footnoteRef/>
      </w:r>
      <w:r>
        <w:rPr>
          <w:sz w:val="17"/>
        </w:rPr>
        <w:t xml:space="preserve"> Congreso de Colombia. </w:t>
      </w:r>
      <w:hyperlink r:id="rId28">
        <w:r>
          <w:rPr>
            <w:sz w:val="17"/>
          </w:rPr>
          <w:t xml:space="preserve">Ley 1581 de 2012</w:t>
        </w:r>
      </w:hyperlink>
      <w:r>
        <w:rPr>
          <w:sz w:val="17"/>
        </w:rPr>
        <w:t xml:space="preserve">. 17 de octubre de 2012, texto compilado.</w:t>
      </w:r>
    </w:p>
  </w:footnote>
  <w:footnote w:id="29">
    <w:p>
      <w:pPr>
        <w:spacing w:after="55" w:line="220" w:lineRule="auto"/>
      </w:pPr>
      <w:r>
        <w:rPr>
          <w:sz w:val="17"/>
          <w:vertAlign w:val="superscript"/>
        </w:rPr>
        <w:footnoteRef/>
      </w:r>
      <w:r>
        <w:rPr>
          <w:sz w:val="17"/>
        </w:rPr>
        <w:t xml:space="preserve"> Superintendencia de Industria y Comercio. </w:t>
      </w:r>
      <w:hyperlink r:id="rId29">
        <w:r>
          <w:rPr>
            <w:sz w:val="17"/>
          </w:rPr>
          <w:t xml:space="preserve">Tratamiento excepcional y autorización del representante legal con interés superior</w:t>
        </w:r>
      </w:hyperlink>
      <w:r>
        <w:rPr>
          <w:sz w:val="17"/>
        </w:rPr>
        <w:t xml:space="preserve">. 31 de diciembre de 2025.</w:t>
      </w:r>
    </w:p>
  </w:footnote>
  <w:footnote w:id="30">
    <w:p>
      <w:pPr>
        <w:spacing w:after="55" w:line="220" w:lineRule="auto"/>
      </w:pPr>
      <w:r>
        <w:rPr>
          <w:sz w:val="17"/>
          <w:vertAlign w:val="superscript"/>
        </w:rPr>
        <w:footnoteRef/>
      </w:r>
      <w:r>
        <w:rPr>
          <w:sz w:val="17"/>
        </w:rPr>
        <w:t xml:space="preserve"> Congreso de Colombia. </w:t>
      </w:r>
      <w:hyperlink r:id="rId30">
        <w:r>
          <w:rPr>
            <w:sz w:val="17"/>
          </w:rPr>
          <w:t xml:space="preserve">Ley 1755 de 2015</w:t>
        </w:r>
      </w:hyperlink>
      <w:r>
        <w:rPr>
          <w:sz w:val="17"/>
        </w:rPr>
        <w:t xml:space="preserve">. 30 de junio de 2015, texto compilado.</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np.gov.co/Prensa_/Noticias/Paginas/comunicado-a-la-opinion-publica-diapositiva.aspx" TargetMode="External"/><Relationship Id="rId10" Type="http://schemas.openxmlformats.org/officeDocument/2006/relationships/hyperlink" Target="https://www.funcionpublica.gov.co/eva/gestornormativo/norma.php?i=4125" TargetMode="External"/><Relationship Id="rId11" Type="http://schemas.openxmlformats.org/officeDocument/2006/relationships/hyperlink" Target="https://www.secretariasenado.gov.co/senado/basedoc/ley_2294_2023.html" TargetMode="External"/><Relationship Id="rId12" Type="http://schemas.openxmlformats.org/officeDocument/2006/relationships/hyperlink" Target="https://www.funcionpublica.gov.co/eva/gestornormativo/norma.php?i=327" TargetMode="External"/><Relationship Id="rId13" Type="http://schemas.openxmlformats.org/officeDocument/2006/relationships/hyperlink" Target="https://dnp.gov.co/LaEntidad_/subdireccion-general-prospectiva-desarrollo-nacional/direccion-gobierno-ddhh-paz/Paginas/Sistema-Nacional-de-Planeacion.aspx" TargetMode="External"/><Relationship Id="rId14" Type="http://schemas.openxmlformats.org/officeDocument/2006/relationships/hyperlink" Target="https://colaboracion.dnp.gov.co/CDT/Atencin%20al%20Ciudadano/Preguntas_Frecuentes_Desarrollo_Territorial.pdf" TargetMode="External"/><Relationship Id="rId15" Type="http://schemas.openxmlformats.org/officeDocument/2006/relationships/hyperlink" Target="https://colaboracion.dnp.gov.co/CDT/Desarrollo%20Territorial/SisPTGuias/Gu%C3%ADa%20de%20Plan%20Indicativo.pdf" TargetMode="External"/><Relationship Id="rId16" Type="http://schemas.openxmlformats.org/officeDocument/2006/relationships/hyperlink" Target="https://dnp.gov.co/LaEntidad_/subdireccion-general-inversiones-seguimiento-evaluacion/direccion-proyectos-informacion-para-inversion-publica/Paginas/manuales.aspx" TargetMode="External"/><Relationship Id="rId17" Type="http://schemas.openxmlformats.org/officeDocument/2006/relationships/hyperlink" Target="https://colaboracion.dnp.gov.co/sites/CDDNP/Sinergia/2025/Guia_seguimiuento_politicas_publicas_Ajustada_2025_08_04.pdf" TargetMode="External"/><Relationship Id="rId18" Type="http://schemas.openxmlformats.org/officeDocument/2006/relationships/hyperlink" Target="https://www.funcionpublica.gov.co/eva/gestornormativo/norma.php?emergente=1&amp;i=339" TargetMode="External"/><Relationship Id="rId19" Type="http://schemas.openxmlformats.org/officeDocument/2006/relationships/hyperlink" Target="https://www1.funcionpublica.gov.co/eva/gestornormativo/norma.php?i=142858" TargetMode="External"/><Relationship Id="rId20" Type="http://schemas.openxmlformats.org/officeDocument/2006/relationships/hyperlink" Target="https://www1.funcionpublica.gov.co/eva/gestornormativo/norma.php?i=5306" TargetMode="External"/><Relationship Id="rId21" Type="http://schemas.openxmlformats.org/officeDocument/2006/relationships/hyperlink" Target="https://www.secretariasenado.gov.co/senado/basedoc/c-117_2024.html" TargetMode="External"/><Relationship Id="rId22" Type="http://schemas.openxmlformats.org/officeDocument/2006/relationships/hyperlink" Target="https://www1.funcionpublica.gov.co/eva/gestornormativo/norma.php?i=65335" TargetMode="External"/><Relationship Id="rId23" Type="http://schemas.openxmlformats.org/officeDocument/2006/relationships/hyperlink" Target="https://www1.funcionpublica.gov.co/eva/gestornormativo/norma.php?i=10570" TargetMode="External"/><Relationship Id="rId24" Type="http://schemas.openxmlformats.org/officeDocument/2006/relationships/hyperlink" Target="https://www.corteconstitucional.gov.co/relatoria/2018/su123-18.htm" TargetMode="External"/><Relationship Id="rId25" Type="http://schemas.openxmlformats.org/officeDocument/2006/relationships/hyperlink" Target="https://www.dnp.gov.co/Prensa_/Noticias/Paginas/dnp-publica-resultados-de-los-dialogos-regionales-vinculantes.aspx" TargetMode="External"/><Relationship Id="rId26" Type="http://schemas.openxmlformats.org/officeDocument/2006/relationships/hyperlink" Target="https://www.dnp.gov.co/Prensa_/Noticias/Paginas/dnp-da-a-conocer-todos-los-retos-y-propuestas-planteados-por-la-ciudadania-durante-los-dialogos-regionales-vinculantes.aspx" TargetMode="External"/><Relationship Id="rId27" Type="http://schemas.openxmlformats.org/officeDocument/2006/relationships/hyperlink" Target="https://www.renovacionterritorio.gov.co/sites/default/files/2026-01/MI-EEP-05.%20V4%20Manual%20operativo%20de%20estructuraci%C3%B3n%20de%20proyectos%20DEEP.pdf" TargetMode="External"/><Relationship Id="rId28" Type="http://schemas.openxmlformats.org/officeDocument/2006/relationships/hyperlink" Target="https://www.medellin.gov.co/es/sala-de-prensa/noticias/sabes-que-es-el-presupuesto-participativo-cuyas-votaciones-de-los-proyectos-seran-del-16-al-24-de-noviembre/" TargetMode="External"/><Relationship Id="rId29" Type="http://schemas.openxmlformats.org/officeDocument/2006/relationships/hyperlink" Target="https://www.gov.br/planejamento/pt-br/assuntos/noticias/2023/julho/plataforma-brasil-participativo-recebe-mais-de-4-milhoes-de-acessos-e-quase-1-5-milhao-de-votos-em-2-meses" TargetMode="External"/><Relationship Id="rId30" Type="http://schemas.openxmlformats.org/officeDocument/2006/relationships/hyperlink" Target="https://citizensassembly.ie/previous-assemblies/2016-2018-citizens-assembly/selection-of-members/" TargetMode="External"/><Relationship Id="rId31" Type="http://schemas.openxmlformats.org/officeDocument/2006/relationships/hyperlink" Target="https://www.oecd.org/en/publications/innovative-citizen-participation-and-new-democratic-institutions_339306da-en.html" TargetMode="External"/><Relationship Id="rId32" Type="http://schemas.openxmlformats.org/officeDocument/2006/relationships/hyperlink" Target="https://www.oecd.org/en/publications/oecd-guidelines-for-citizen-participation-processes_f765caf6-en.html" TargetMode="External"/><Relationship Id="rId33" Type="http://schemas.openxmlformats.org/officeDocument/2006/relationships/hyperlink" Target="https://www.dane.gov.co/files/operaciones/ENTIC/bol-ENTICHogares-2024.pdf" TargetMode="External"/><Relationship Id="rId34" Type="http://schemas.openxmlformats.org/officeDocument/2006/relationships/hyperlink" Target="https://docs.decidim.org/en/v0.32/admin/components/accountability/results" TargetMode="External"/><Relationship Id="rId35" Type="http://schemas.openxmlformats.org/officeDocument/2006/relationships/hyperlink" Target="https://compdemocracy.org/opinion-groups/" TargetMode="External"/><Relationship Id="rId36" Type="http://schemas.openxmlformats.org/officeDocument/2006/relationships/hyperlink" Target="https://www.funcionpublica.gov.co/eva/gestornormativo/norma.php?i=49981" TargetMode="External"/><Relationship Id="rId37" Type="http://schemas.openxmlformats.org/officeDocument/2006/relationships/hyperlink" Target="https://sedeelectronica.sic.gov.co/publicaciones/boletin-juridico/concepto/tratamiento-excepcional-y-autorizacion-del-representante-legal-con-interes-superior" TargetMode="External"/><Relationship Id="rId38" Type="http://schemas.openxmlformats.org/officeDocument/2006/relationships/hyperlink" Target="https://www1.funcionpublica.gov.co/eva/gestornormativo/norma.php?i=65334" TargetMode="External"/><Relationship Id="rId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dnp.gov.co/Prensa_/Noticias/Paginas/comunicado-a-la-opinion-publica-diapositiva.aspx" TargetMode="External"/><Relationship Id="rId2" Type="http://schemas.openxmlformats.org/officeDocument/2006/relationships/hyperlink" Target="https://www.funcionpublica.gov.co/eva/gestornormativo/norma.php?i=4125" TargetMode="External"/><Relationship Id="rId3" Type="http://schemas.openxmlformats.org/officeDocument/2006/relationships/hyperlink" Target="https://www.secretariasenado.gov.co/senado/basedoc/ley_2294_2023.html" TargetMode="External"/><Relationship Id="rId4" Type="http://schemas.openxmlformats.org/officeDocument/2006/relationships/hyperlink" Target="https://www.funcionpublica.gov.co/eva/gestornormativo/norma.php?i=327" TargetMode="External"/><Relationship Id="rId5" Type="http://schemas.openxmlformats.org/officeDocument/2006/relationships/hyperlink" Target="https://dnp.gov.co/LaEntidad_/subdireccion-general-prospectiva-desarrollo-nacional/direccion-gobierno-ddhh-paz/Paginas/Sistema-Nacional-de-Planeacion.aspx" TargetMode="External"/><Relationship Id="rId6" Type="http://schemas.openxmlformats.org/officeDocument/2006/relationships/hyperlink" Target="https://colaboracion.dnp.gov.co/CDT/Atencin%20al%20Ciudadano/Preguntas_Frecuentes_Desarrollo_Territorial.pdf" TargetMode="External"/><Relationship Id="rId7" Type="http://schemas.openxmlformats.org/officeDocument/2006/relationships/hyperlink" Target="https://colaboracion.dnp.gov.co/CDT/Desarrollo%20Territorial/SisPTGuias/Gu%C3%ADa%20de%20Plan%20Indicativo.pdf" TargetMode="External"/><Relationship Id="rId8" Type="http://schemas.openxmlformats.org/officeDocument/2006/relationships/hyperlink" Target="https://dnp.gov.co/LaEntidad_/subdireccion-general-inversiones-seguimiento-evaluacion/direccion-proyectos-informacion-para-inversion-publica/Paginas/manuales.aspx" TargetMode="External"/><Relationship Id="rId9" Type="http://schemas.openxmlformats.org/officeDocument/2006/relationships/hyperlink" Target="https://colaboracion.dnp.gov.co/sites/CDDNP/Sinergia/2025/Guia_seguimiuento_politicas_publicas_Ajustada_2025_08_04.pdf" TargetMode="External"/><Relationship Id="rId10" Type="http://schemas.openxmlformats.org/officeDocument/2006/relationships/hyperlink" Target="https://www.funcionpublica.gov.co/eva/gestornormativo/norma.php?emergente=1&amp;i=339" TargetMode="External"/><Relationship Id="rId11" Type="http://schemas.openxmlformats.org/officeDocument/2006/relationships/hyperlink" Target="https://www1.funcionpublica.gov.co/eva/gestornormativo/norma.php?i=142858" TargetMode="External"/><Relationship Id="rId12" Type="http://schemas.openxmlformats.org/officeDocument/2006/relationships/hyperlink" Target="https://www1.funcionpublica.gov.co/eva/gestornormativo/norma.php?i=5306" TargetMode="External"/><Relationship Id="rId13" Type="http://schemas.openxmlformats.org/officeDocument/2006/relationships/hyperlink" Target="https://www.secretariasenado.gov.co/senado/basedoc/c-117_2024.html" TargetMode="External"/><Relationship Id="rId14" Type="http://schemas.openxmlformats.org/officeDocument/2006/relationships/hyperlink" Target="https://www1.funcionpublica.gov.co/eva/gestornormativo/norma.php?i=65335" TargetMode="External"/><Relationship Id="rId15" Type="http://schemas.openxmlformats.org/officeDocument/2006/relationships/hyperlink" Target="https://www1.funcionpublica.gov.co/eva/gestornormativo/norma.php?i=10570" TargetMode="External"/><Relationship Id="rId16" Type="http://schemas.openxmlformats.org/officeDocument/2006/relationships/hyperlink" Target="https://www.corteconstitucional.gov.co/relatoria/2018/su123-18.htm" TargetMode="External"/><Relationship Id="rId17" Type="http://schemas.openxmlformats.org/officeDocument/2006/relationships/hyperlink" Target="https://www.dnp.gov.co/Prensa_/Noticias/Paginas/dnp-publica-resultados-de-los-dialogos-regionales-vinculantes.aspx" TargetMode="External"/><Relationship Id="rId18" Type="http://schemas.openxmlformats.org/officeDocument/2006/relationships/hyperlink" Target="https://www.dnp.gov.co/Prensa_/Noticias/Paginas/dnp-da-a-conocer-todos-los-retos-y-propuestas-planteados-por-la-ciudadania-durante-los-dialogos-regionales-vinculantes.aspx" TargetMode="External"/><Relationship Id="rId19" Type="http://schemas.openxmlformats.org/officeDocument/2006/relationships/hyperlink" Target="https://www.renovacionterritorio.gov.co/sites/default/files/2026-01/MI-EEP-05.%20V4%20Manual%20operativo%20de%20estructuraci%C3%B3n%20de%20proyectos%20DEEP.pdf" TargetMode="External"/><Relationship Id="rId20" Type="http://schemas.openxmlformats.org/officeDocument/2006/relationships/hyperlink" Target="https://www.medellin.gov.co/es/sala-de-prensa/noticias/sabes-que-es-el-presupuesto-participativo-cuyas-votaciones-de-los-proyectos-seran-del-16-al-24-de-noviembre/" TargetMode="External"/><Relationship Id="rId21" Type="http://schemas.openxmlformats.org/officeDocument/2006/relationships/hyperlink" Target="https://www.gov.br/planejamento/pt-br/assuntos/noticias/2023/julho/plataforma-brasil-participativo-recebe-mais-de-4-milhoes-de-acessos-e-quase-1-5-milhao-de-votos-em-2-meses" TargetMode="External"/><Relationship Id="rId22" Type="http://schemas.openxmlformats.org/officeDocument/2006/relationships/hyperlink" Target="https://citizensassembly.ie/previous-assemblies/2016-2018-citizens-assembly/selection-of-members/" TargetMode="External"/><Relationship Id="rId23" Type="http://schemas.openxmlformats.org/officeDocument/2006/relationships/hyperlink" Target="https://www.oecd.org/en/publications/innovative-citizen-participation-and-new-democratic-institutions_339306da-en.html" TargetMode="External"/><Relationship Id="rId24" Type="http://schemas.openxmlformats.org/officeDocument/2006/relationships/hyperlink" Target="https://www.oecd.org/en/publications/oecd-guidelines-for-citizen-participation-processes_f765caf6-en.html" TargetMode="External"/><Relationship Id="rId25" Type="http://schemas.openxmlformats.org/officeDocument/2006/relationships/hyperlink" Target="https://www.dane.gov.co/files/operaciones/ENTIC/bol-ENTICHogares-2024.pdf" TargetMode="External"/><Relationship Id="rId26" Type="http://schemas.openxmlformats.org/officeDocument/2006/relationships/hyperlink" Target="https://docs.decidim.org/en/v0.32/admin/components/accountability/results" TargetMode="External"/><Relationship Id="rId27" Type="http://schemas.openxmlformats.org/officeDocument/2006/relationships/hyperlink" Target="https://compdemocracy.org/opinion-groups/" TargetMode="External"/><Relationship Id="rId28" Type="http://schemas.openxmlformats.org/officeDocument/2006/relationships/hyperlink" Target="https://www.funcionpublica.gov.co/eva/gestornormativo/norma.php?i=49981" TargetMode="External"/><Relationship Id="rId29" Type="http://schemas.openxmlformats.org/officeDocument/2006/relationships/hyperlink" Target="https://sedeelectronica.sic.gov.co/publicaciones/boletin-juridico/concepto/tratamiento-excepcional-y-autorizacion-del-representante-legal-con-interes-superior" TargetMode="External"/><Relationship Id="rId30" Type="http://schemas.openxmlformats.org/officeDocument/2006/relationships/hyperlink" Target="https://www1.funcionpublica.gov.co/eva/gestornormativo/norma.php?i=65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nacional y participación ciudadana en Colombia</dc:title>
  <dc:subject>Investigación y diseño refinado de participación ciudadana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