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B7AC5" w14:textId="7A780717" w:rsidR="00384298" w:rsidRDefault="00384298" w:rsidP="00AC6BA6">
      <w:pPr>
        <w:spacing w:before="300" w:after="150"/>
        <w:jc w:val="center"/>
        <w:outlineLvl w:val="0"/>
        <w:rPr>
          <w:rFonts w:asciiTheme="minorHAnsi" w:eastAsiaTheme="minorHAnsi" w:hAnsiTheme="minorHAnsi"/>
          <w:b/>
          <w:color w:val="38485A"/>
          <w:kern w:val="36"/>
          <w:sz w:val="32"/>
          <w:szCs w:val="28"/>
        </w:rPr>
      </w:pPr>
      <w:r w:rsidRPr="00F73ABD">
        <w:rPr>
          <w:rFonts w:asciiTheme="minorHAnsi" w:eastAsiaTheme="minorHAnsi" w:hAnsiTheme="minorHAnsi" w:hint="eastAsia"/>
          <w:b/>
          <w:color w:val="38485A"/>
          <w:kern w:val="36"/>
          <w:sz w:val="32"/>
          <w:szCs w:val="28"/>
        </w:rPr>
        <w:t>香港证监会：部分ICO</w:t>
      </w:r>
      <w:r w:rsidR="00C14E25" w:rsidRPr="00F73ABD">
        <w:rPr>
          <w:rFonts w:asciiTheme="minorHAnsi" w:eastAsiaTheme="minorHAnsi" w:hAnsiTheme="minorHAnsi" w:hint="eastAsia"/>
          <w:b/>
          <w:color w:val="38485A"/>
          <w:kern w:val="36"/>
          <w:sz w:val="32"/>
          <w:szCs w:val="28"/>
        </w:rPr>
        <w:t>代币在港需受</w:t>
      </w:r>
      <w:r w:rsidR="004975E6">
        <w:rPr>
          <w:rFonts w:asciiTheme="minorHAnsi" w:eastAsiaTheme="minorHAnsi" w:hAnsiTheme="minorHAnsi" w:hint="eastAsia"/>
          <w:b/>
          <w:color w:val="38485A"/>
          <w:kern w:val="36"/>
          <w:sz w:val="32"/>
          <w:szCs w:val="28"/>
        </w:rPr>
        <w:t>证券法</w:t>
      </w:r>
      <w:r w:rsidRPr="00F73ABD">
        <w:rPr>
          <w:rFonts w:asciiTheme="minorHAnsi" w:eastAsiaTheme="minorHAnsi" w:hAnsiTheme="minorHAnsi" w:hint="eastAsia"/>
          <w:b/>
          <w:color w:val="38485A"/>
          <w:kern w:val="36"/>
          <w:sz w:val="32"/>
          <w:szCs w:val="28"/>
        </w:rPr>
        <w:t>规</w:t>
      </w:r>
      <w:r w:rsidR="004975E6">
        <w:rPr>
          <w:rFonts w:asciiTheme="minorHAnsi" w:eastAsiaTheme="minorHAnsi" w:hAnsiTheme="minorHAnsi" w:hint="eastAsia"/>
          <w:b/>
          <w:color w:val="38485A"/>
          <w:kern w:val="36"/>
          <w:sz w:val="32"/>
          <w:szCs w:val="28"/>
        </w:rPr>
        <w:t>监</w:t>
      </w:r>
      <w:r w:rsidRPr="00F73ABD">
        <w:rPr>
          <w:rFonts w:asciiTheme="minorHAnsi" w:eastAsiaTheme="minorHAnsi" w:hAnsiTheme="minorHAnsi" w:hint="eastAsia"/>
          <w:b/>
          <w:color w:val="38485A"/>
          <w:kern w:val="36"/>
          <w:sz w:val="32"/>
          <w:szCs w:val="28"/>
        </w:rPr>
        <w:t>管</w:t>
      </w:r>
    </w:p>
    <w:p w14:paraId="52CBA4EA" w14:textId="61C3E991" w:rsidR="009D730C" w:rsidRPr="004975E6" w:rsidRDefault="00464427" w:rsidP="004975E6">
      <w:pPr>
        <w:spacing w:before="300" w:after="150"/>
        <w:jc w:val="center"/>
        <w:outlineLvl w:val="0"/>
        <w:rPr>
          <w:rFonts w:asciiTheme="minorHAnsi" w:eastAsiaTheme="minorHAnsi" w:hAnsiTheme="minorHAnsi"/>
          <w:color w:val="555555"/>
          <w:szCs w:val="28"/>
        </w:rPr>
      </w:pPr>
      <w:r>
        <w:rPr>
          <w:rFonts w:asciiTheme="minorHAnsi" w:eastAsiaTheme="minorHAnsi" w:hAnsiTheme="minorHAnsi" w:hint="eastAsia"/>
          <w:color w:val="555555"/>
          <w:szCs w:val="28"/>
        </w:rPr>
        <w:t>编辑</w:t>
      </w:r>
      <w:bookmarkStart w:id="0" w:name="_GoBack"/>
      <w:bookmarkEnd w:id="0"/>
      <w:r w:rsidR="004975E6" w:rsidRPr="004975E6">
        <w:rPr>
          <w:rFonts w:asciiTheme="minorHAnsi" w:eastAsiaTheme="minorHAnsi" w:hAnsiTheme="minorHAnsi" w:hint="eastAsia"/>
          <w:color w:val="555555"/>
          <w:szCs w:val="28"/>
        </w:rPr>
        <w:t xml:space="preserve">：徐雪    </w:t>
      </w:r>
      <w:r w:rsidR="009D730C" w:rsidRPr="004975E6">
        <w:rPr>
          <w:rFonts w:asciiTheme="minorHAnsi" w:eastAsiaTheme="minorHAnsi" w:hAnsiTheme="minorHAnsi" w:hint="eastAsia"/>
          <w:color w:val="555555"/>
          <w:szCs w:val="28"/>
        </w:rPr>
        <w:t>2017.9.5</w:t>
      </w:r>
    </w:p>
    <w:p w14:paraId="251D88EA" w14:textId="4F56820D" w:rsidR="004975E6" w:rsidRPr="004975E6" w:rsidRDefault="004975E6" w:rsidP="004975E6">
      <w:pPr>
        <w:spacing w:before="300" w:after="150"/>
        <w:jc w:val="center"/>
        <w:outlineLvl w:val="0"/>
        <w:rPr>
          <w:rFonts w:asciiTheme="minorHAnsi" w:eastAsiaTheme="minorHAnsi" w:hAnsiTheme="minorHAnsi"/>
          <w:color w:val="555555"/>
          <w:szCs w:val="28"/>
        </w:rPr>
      </w:pPr>
      <w:r w:rsidRPr="004975E6">
        <w:rPr>
          <w:rFonts w:asciiTheme="minorHAnsi" w:eastAsiaTheme="minorHAnsi" w:hAnsiTheme="minorHAnsi" w:hint="eastAsia"/>
          <w:color w:val="555555"/>
          <w:szCs w:val="28"/>
        </w:rPr>
        <w:t>“香港证监会表示，部分ICO项目发行的代币可能属于证券</w:t>
      </w:r>
      <w:r>
        <w:rPr>
          <w:rFonts w:asciiTheme="minorHAnsi" w:eastAsiaTheme="minorHAnsi" w:hAnsiTheme="minorHAnsi"/>
          <w:color w:val="555555"/>
          <w:szCs w:val="28"/>
        </w:rPr>
        <w:t>…</w:t>
      </w:r>
      <w:r w:rsidRPr="004975E6">
        <w:rPr>
          <w:rFonts w:asciiTheme="minorHAnsi" w:eastAsiaTheme="minorHAnsi" w:hAnsiTheme="minorHAnsi" w:hint="eastAsia"/>
          <w:color w:val="555555"/>
          <w:szCs w:val="28"/>
        </w:rPr>
        <w:t>”</w:t>
      </w:r>
    </w:p>
    <w:p w14:paraId="48DC69E4" w14:textId="453C4AA8" w:rsidR="00501177" w:rsidRPr="00F66FBB" w:rsidRDefault="00F66FBB" w:rsidP="00501177">
      <w:pPr>
        <w:spacing w:before="300" w:after="150"/>
        <w:jc w:val="center"/>
        <w:outlineLvl w:val="0"/>
        <w:rPr>
          <w:rFonts w:asciiTheme="minorHAnsi" w:eastAsiaTheme="minorHAnsi" w:hAnsiTheme="minorHAnsi"/>
          <w:b/>
          <w:color w:val="38485A"/>
          <w:kern w:val="36"/>
          <w:sz w:val="32"/>
          <w:szCs w:val="28"/>
        </w:rPr>
      </w:pPr>
      <w:r>
        <w:rPr>
          <w:rFonts w:ascii="Helvetica" w:hAnsi="Helvetica" w:cs="Helvetica"/>
          <w:noProof/>
        </w:rPr>
        <w:drawing>
          <wp:inline distT="0" distB="0" distL="0" distR="0" wp14:anchorId="3F71CCF6" wp14:editId="56746196">
            <wp:extent cx="5270500" cy="2964425"/>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964425"/>
                    </a:xfrm>
                    <a:prstGeom prst="rect">
                      <a:avLst/>
                    </a:prstGeom>
                    <a:noFill/>
                    <a:ln>
                      <a:noFill/>
                    </a:ln>
                  </pic:spPr>
                </pic:pic>
              </a:graphicData>
            </a:graphic>
          </wp:inline>
        </w:drawing>
      </w:r>
    </w:p>
    <w:p w14:paraId="70F1A33E" w14:textId="191C0012" w:rsidR="00384298" w:rsidRPr="004975E6" w:rsidRDefault="00384298" w:rsidP="004975E6">
      <w:pPr>
        <w:ind w:firstLineChars="200" w:firstLine="480"/>
        <w:jc w:val="both"/>
        <w:rPr>
          <w:rFonts w:asciiTheme="minorHAnsi" w:eastAsiaTheme="minorHAnsi" w:hAnsiTheme="minorHAnsi"/>
          <w:color w:val="555555"/>
          <w:szCs w:val="28"/>
        </w:rPr>
      </w:pPr>
      <w:r w:rsidRPr="004975E6">
        <w:rPr>
          <w:rFonts w:asciiTheme="minorHAnsi" w:eastAsiaTheme="minorHAnsi" w:hAnsiTheme="minorHAnsi" w:hint="eastAsia"/>
          <w:color w:val="555555"/>
          <w:szCs w:val="28"/>
        </w:rPr>
        <w:t>继</w:t>
      </w:r>
      <w:r w:rsidR="00C14E25" w:rsidRPr="004975E6">
        <w:rPr>
          <w:rFonts w:asciiTheme="minorHAnsi" w:eastAsiaTheme="minorHAnsi" w:hAnsiTheme="minorHAnsi" w:hint="eastAsia"/>
          <w:color w:val="555555"/>
          <w:szCs w:val="28"/>
        </w:rPr>
        <w:t>9月4日</w:t>
      </w:r>
      <w:r w:rsidRPr="004975E6">
        <w:rPr>
          <w:rFonts w:asciiTheme="minorHAnsi" w:eastAsiaTheme="minorHAnsi" w:hAnsiTheme="minorHAnsi" w:hint="eastAsia"/>
          <w:color w:val="555555"/>
          <w:szCs w:val="28"/>
        </w:rPr>
        <w:t>七部委联合叫停ICO后</w:t>
      </w:r>
      <w:r w:rsidR="00C14E25" w:rsidRPr="004975E6">
        <w:rPr>
          <w:rFonts w:asciiTheme="minorHAnsi" w:eastAsiaTheme="minorHAnsi" w:hAnsiTheme="minorHAnsi" w:hint="eastAsia"/>
          <w:color w:val="555555"/>
          <w:szCs w:val="28"/>
        </w:rPr>
        <w:t>（《中国人民银行 中央网信办 工业和信息化部 工商总局 银监会 证监会 保监会关于防范代币发行融资风险的公告》）</w:t>
      </w:r>
      <w:r w:rsidRPr="004975E6">
        <w:rPr>
          <w:rFonts w:asciiTheme="minorHAnsi" w:eastAsiaTheme="minorHAnsi" w:hAnsiTheme="minorHAnsi" w:hint="eastAsia"/>
          <w:color w:val="555555"/>
          <w:szCs w:val="28"/>
        </w:rPr>
        <w:t>，9月5日，香港证监会也发布了《有关首次代币发行的声明》。声明指出，部分进行ICO的项目代币可能属于《证券及期货条例》所界定的“证券”，</w:t>
      </w:r>
      <w:r w:rsidR="00B454D1" w:rsidRPr="004975E6">
        <w:rPr>
          <w:rFonts w:asciiTheme="minorHAnsi" w:eastAsiaTheme="minorHAnsi" w:hAnsiTheme="minorHAnsi" w:hint="eastAsia"/>
          <w:color w:val="555555"/>
          <w:szCs w:val="28"/>
        </w:rPr>
        <w:t>如果在港进行ICO类似活动，</w:t>
      </w:r>
      <w:r w:rsidR="00CE0830" w:rsidRPr="004975E6">
        <w:rPr>
          <w:rFonts w:asciiTheme="minorHAnsi" w:eastAsiaTheme="minorHAnsi" w:hAnsiTheme="minorHAnsi" w:hint="eastAsia"/>
          <w:color w:val="555555"/>
          <w:szCs w:val="28"/>
        </w:rPr>
        <w:t>可能需要</w:t>
      </w:r>
      <w:r w:rsidRPr="004975E6">
        <w:rPr>
          <w:rFonts w:asciiTheme="minorHAnsi" w:eastAsiaTheme="minorHAnsi" w:hAnsiTheme="minorHAnsi" w:hint="eastAsia"/>
          <w:color w:val="555555"/>
          <w:szCs w:val="28"/>
        </w:rPr>
        <w:t>受到香港证券法例的规管。而从事“受规管活</w:t>
      </w:r>
      <w:r w:rsidR="004975E6" w:rsidRPr="004975E6">
        <w:rPr>
          <w:rFonts w:asciiTheme="minorHAnsi" w:eastAsiaTheme="minorHAnsi" w:hAnsiTheme="minorHAnsi" w:hint="eastAsia"/>
          <w:color w:val="555555"/>
          <w:szCs w:val="28"/>
        </w:rPr>
        <w:t>动”的人士或机构，不论是否位处香港，只要其业务活动对象是香港公众</w:t>
      </w:r>
      <w:r w:rsidRPr="004975E6">
        <w:rPr>
          <w:rFonts w:asciiTheme="minorHAnsi" w:eastAsiaTheme="minorHAnsi" w:hAnsiTheme="minorHAnsi" w:hint="eastAsia"/>
          <w:color w:val="555555"/>
          <w:szCs w:val="28"/>
        </w:rPr>
        <w:t>，</w:t>
      </w:r>
      <w:r w:rsidR="00CE0830" w:rsidRPr="004975E6">
        <w:rPr>
          <w:rFonts w:asciiTheme="minorHAnsi" w:eastAsiaTheme="minorHAnsi" w:hAnsiTheme="minorHAnsi" w:hint="eastAsia"/>
          <w:color w:val="555555"/>
          <w:szCs w:val="28"/>
        </w:rPr>
        <w:t>均</w:t>
      </w:r>
      <w:r w:rsidRPr="004975E6">
        <w:rPr>
          <w:rFonts w:asciiTheme="minorHAnsi" w:eastAsiaTheme="minorHAnsi" w:hAnsiTheme="minorHAnsi" w:hint="eastAsia"/>
          <w:color w:val="555555"/>
          <w:szCs w:val="28"/>
        </w:rPr>
        <w:t>须获证监会发牌或向证监会注册</w:t>
      </w:r>
      <w:r w:rsidR="004975E6" w:rsidRPr="004975E6">
        <w:rPr>
          <w:rFonts w:asciiTheme="minorHAnsi" w:eastAsiaTheme="minorHAnsi" w:hAnsiTheme="minorHAnsi" w:hint="eastAsia"/>
          <w:color w:val="555555"/>
          <w:szCs w:val="28"/>
        </w:rPr>
        <w:t>才可继续进行</w:t>
      </w:r>
      <w:r w:rsidRPr="004975E6">
        <w:rPr>
          <w:rFonts w:asciiTheme="minorHAnsi" w:eastAsiaTheme="minorHAnsi" w:hAnsiTheme="minorHAnsi" w:hint="eastAsia"/>
          <w:color w:val="555555"/>
          <w:szCs w:val="28"/>
        </w:rPr>
        <w:t>。</w:t>
      </w:r>
    </w:p>
    <w:p w14:paraId="01106CE6" w14:textId="77777777" w:rsidR="00AC6BA6" w:rsidRDefault="00AC6BA6" w:rsidP="004975E6">
      <w:pPr>
        <w:ind w:firstLineChars="200" w:firstLine="560"/>
        <w:jc w:val="both"/>
        <w:rPr>
          <w:rFonts w:asciiTheme="minorHAnsi" w:eastAsiaTheme="minorHAnsi" w:hAnsiTheme="minorHAnsi"/>
          <w:sz w:val="28"/>
          <w:szCs w:val="28"/>
        </w:rPr>
      </w:pPr>
    </w:p>
    <w:p w14:paraId="391BB654" w14:textId="27F49D2E" w:rsidR="004975E6" w:rsidRPr="004975E6" w:rsidRDefault="004975E6" w:rsidP="004975E6">
      <w:pPr>
        <w:ind w:firstLine="560"/>
        <w:jc w:val="both"/>
        <w:rPr>
          <w:sz w:val="20"/>
        </w:rPr>
      </w:pPr>
      <w:r w:rsidRPr="004975E6">
        <w:rPr>
          <w:rFonts w:hint="eastAsia"/>
          <w:sz w:val="20"/>
        </w:rPr>
        <w:t>标签：</w:t>
      </w:r>
      <w:r w:rsidRPr="004975E6">
        <w:rPr>
          <w:rFonts w:hint="eastAsia"/>
          <w:sz w:val="20"/>
          <w:shd w:val="pct15" w:color="auto" w:fill="FFFFFF"/>
        </w:rPr>
        <w:t>ICO</w:t>
      </w:r>
      <w:r w:rsidRPr="004975E6">
        <w:rPr>
          <w:rFonts w:hint="eastAsia"/>
          <w:sz w:val="20"/>
        </w:rPr>
        <w:t>；</w:t>
      </w:r>
      <w:r w:rsidRPr="004975E6">
        <w:rPr>
          <w:rFonts w:hint="eastAsia"/>
          <w:sz w:val="20"/>
          <w:shd w:val="pct15" w:color="auto" w:fill="FFFFFF"/>
        </w:rPr>
        <w:t>香港证监会</w:t>
      </w:r>
    </w:p>
    <w:p w14:paraId="772E94B8" w14:textId="77777777" w:rsidR="004975E6" w:rsidRPr="004975E6" w:rsidRDefault="004975E6" w:rsidP="004975E6">
      <w:pPr>
        <w:ind w:firstLine="560"/>
        <w:jc w:val="both"/>
        <w:rPr>
          <w:sz w:val="20"/>
        </w:rPr>
      </w:pPr>
      <w:r w:rsidRPr="004975E6">
        <w:rPr>
          <w:rFonts w:hint="eastAsia"/>
          <w:sz w:val="20"/>
        </w:rPr>
        <w:t>总浏览数：</w:t>
      </w:r>
      <w:r w:rsidRPr="004975E6">
        <w:rPr>
          <w:rFonts w:hint="eastAsia"/>
          <w:sz w:val="20"/>
        </w:rPr>
        <w:t>***</w:t>
      </w:r>
    </w:p>
    <w:p w14:paraId="510C5FBD" w14:textId="77777777" w:rsidR="004975E6" w:rsidRPr="004975E6" w:rsidRDefault="004975E6" w:rsidP="004975E6">
      <w:pPr>
        <w:ind w:firstLine="560"/>
        <w:jc w:val="both"/>
        <w:rPr>
          <w:sz w:val="20"/>
        </w:rPr>
      </w:pPr>
    </w:p>
    <w:p w14:paraId="62C1AA1A" w14:textId="77777777" w:rsidR="004975E6" w:rsidRPr="00EB6593" w:rsidRDefault="004975E6" w:rsidP="004975E6">
      <w:pPr>
        <w:jc w:val="both"/>
        <w:rPr>
          <w:rFonts w:ascii="Helvetica" w:eastAsia="Songti SC" w:hAnsi="Helvetica" w:cs="Helvetica"/>
          <w:i/>
          <w:sz w:val="22"/>
          <w:szCs w:val="32"/>
        </w:rPr>
      </w:pPr>
      <w:r w:rsidRPr="004975E6">
        <w:rPr>
          <w:rFonts w:ascii="Helvetica" w:eastAsia="Songti SC" w:hAnsi="Helvetica" w:cs="Helvetica"/>
          <w:i/>
          <w:sz w:val="22"/>
          <w:szCs w:val="32"/>
        </w:rPr>
        <w:t>【声明</w:t>
      </w:r>
      <w:r w:rsidRPr="004975E6">
        <w:rPr>
          <w:rFonts w:ascii="Helvetica" w:eastAsia="Songti SC" w:hAnsi="Helvetica" w:cs="Helvetica" w:hint="eastAsia"/>
          <w:i/>
          <w:sz w:val="22"/>
          <w:szCs w:val="32"/>
        </w:rPr>
        <w:t>：文章为作者独立</w:t>
      </w:r>
      <w:r w:rsidRPr="00EB6593">
        <w:rPr>
          <w:rFonts w:ascii="Helvetica" w:eastAsia="Songti SC" w:hAnsi="Helvetica" w:cs="Helvetica"/>
          <w:i/>
          <w:sz w:val="22"/>
          <w:szCs w:val="32"/>
        </w:rPr>
        <w:t>观点，不代表</w:t>
      </w:r>
      <w:r w:rsidRPr="004975E6">
        <w:rPr>
          <w:rFonts w:ascii="Helvetica" w:eastAsia="Songti SC" w:hAnsi="Helvetica" w:cs="Helvetica"/>
          <w:i/>
          <w:sz w:val="22"/>
          <w:szCs w:val="32"/>
        </w:rPr>
        <w:t>UNITIMES</w:t>
      </w:r>
      <w:r w:rsidRPr="00EB6593">
        <w:rPr>
          <w:rFonts w:ascii="Helvetica" w:eastAsia="Songti SC" w:hAnsi="Helvetica" w:cs="Helvetica"/>
          <w:i/>
          <w:sz w:val="22"/>
          <w:szCs w:val="32"/>
        </w:rPr>
        <w:t>官网立场</w:t>
      </w:r>
      <w:r w:rsidRPr="004975E6">
        <w:rPr>
          <w:rFonts w:ascii="Helvetica" w:eastAsia="Songti SC" w:hAnsi="Helvetica" w:cs="Helvetica" w:hint="eastAsia"/>
          <w:i/>
          <w:sz w:val="22"/>
          <w:szCs w:val="32"/>
        </w:rPr>
        <w:t>。</w:t>
      </w:r>
      <w:r w:rsidRPr="004975E6">
        <w:rPr>
          <w:rFonts w:ascii="Helvetica" w:eastAsia="Songti SC" w:hAnsi="Helvetica" w:cs="Helvetica"/>
          <w:i/>
          <w:sz w:val="22"/>
          <w:szCs w:val="32"/>
        </w:rPr>
        <w:t>欢迎转载，转载请务必</w:t>
      </w:r>
      <w:r w:rsidRPr="004975E6">
        <w:rPr>
          <w:rFonts w:ascii="Helvetica" w:eastAsia="Songti SC" w:hAnsi="Helvetica" w:cs="Helvetica" w:hint="eastAsia"/>
          <w:i/>
          <w:sz w:val="22"/>
          <w:szCs w:val="32"/>
        </w:rPr>
        <w:t>注明来源。如有不当之处请多指教</w:t>
      </w:r>
      <w:r w:rsidRPr="00EB6593">
        <w:rPr>
          <w:rFonts w:ascii="Helvetica" w:eastAsia="Songti SC" w:hAnsi="Helvetica" w:cs="Helvetica"/>
          <w:i/>
          <w:sz w:val="22"/>
          <w:szCs w:val="32"/>
        </w:rPr>
        <w:t>】</w:t>
      </w:r>
    </w:p>
    <w:p w14:paraId="14861A05" w14:textId="77777777" w:rsidR="0067593F" w:rsidRPr="000138F8" w:rsidRDefault="0067593F" w:rsidP="000138F8">
      <w:pPr>
        <w:rPr>
          <w:rFonts w:asciiTheme="minorHAnsi" w:eastAsiaTheme="minorHAnsi" w:hAnsiTheme="minorHAnsi"/>
          <w:sz w:val="28"/>
          <w:szCs w:val="28"/>
        </w:rPr>
      </w:pPr>
    </w:p>
    <w:p w14:paraId="0C6E70AE" w14:textId="77777777" w:rsidR="0067593F" w:rsidRPr="004975E6" w:rsidRDefault="0067593F" w:rsidP="0067593F">
      <w:pPr>
        <w:jc w:val="center"/>
        <w:rPr>
          <w:rFonts w:ascii="Arial" w:eastAsia="宋体" w:hAnsi="Arial" w:cs="Arial"/>
          <w:b/>
          <w:bCs/>
          <w:sz w:val="28"/>
        </w:rPr>
      </w:pPr>
      <w:r w:rsidRPr="004975E6">
        <w:rPr>
          <w:rFonts w:ascii="Arial" w:eastAsia="宋体" w:hAnsi="Arial" w:cs="Arial"/>
          <w:b/>
          <w:bCs/>
          <w:sz w:val="28"/>
        </w:rPr>
        <w:t>Hong Kong SFC: ICO Tokens “May be Securities” &amp; Subject to Laws</w:t>
      </w:r>
    </w:p>
    <w:p w14:paraId="649822F6" w14:textId="77777777" w:rsidR="004975E6" w:rsidRDefault="004975E6" w:rsidP="0067593F">
      <w:pPr>
        <w:jc w:val="center"/>
        <w:rPr>
          <w:rFonts w:ascii="Arial" w:eastAsia="宋体" w:hAnsi="Arial" w:cs="Arial"/>
          <w:b/>
          <w:bCs/>
        </w:rPr>
      </w:pPr>
    </w:p>
    <w:p w14:paraId="4BAADBD3" w14:textId="53D6701E" w:rsidR="009A1ABC" w:rsidRDefault="004975E6" w:rsidP="004975E6">
      <w:pPr>
        <w:jc w:val="center"/>
        <w:rPr>
          <w:rFonts w:ascii="Arial" w:eastAsia="宋体" w:hAnsi="Arial" w:cs="Arial"/>
        </w:rPr>
      </w:pPr>
      <w:r>
        <w:rPr>
          <w:rFonts w:ascii="Arial" w:eastAsia="宋体" w:hAnsi="Arial" w:cs="Arial" w:hint="eastAsia"/>
        </w:rPr>
        <w:t xml:space="preserve">Editor: </w:t>
      </w:r>
      <w:proofErr w:type="spellStart"/>
      <w:r>
        <w:rPr>
          <w:rFonts w:ascii="Arial" w:eastAsia="宋体" w:hAnsi="Arial" w:cs="Arial" w:hint="eastAsia"/>
        </w:rPr>
        <w:t>Xue</w:t>
      </w:r>
      <w:proofErr w:type="spellEnd"/>
      <w:r>
        <w:rPr>
          <w:rFonts w:ascii="Arial" w:eastAsia="宋体" w:hAnsi="Arial" w:cs="Arial" w:hint="eastAsia"/>
        </w:rPr>
        <w:t xml:space="preserve"> Xu    5</w:t>
      </w:r>
      <w:r w:rsidR="00287E21" w:rsidRPr="00287E21">
        <w:rPr>
          <w:rFonts w:ascii="Arial" w:eastAsia="宋体" w:hAnsi="Arial" w:cs="Arial" w:hint="eastAsia"/>
        </w:rPr>
        <w:t xml:space="preserve"> Sep</w:t>
      </w:r>
      <w:r w:rsidR="00861B62">
        <w:rPr>
          <w:rFonts w:ascii="Arial" w:eastAsia="宋体" w:hAnsi="Arial" w:cs="Arial" w:hint="eastAsia"/>
        </w:rPr>
        <w:t>t</w:t>
      </w:r>
      <w:r w:rsidR="00287E21" w:rsidRPr="00287E21">
        <w:rPr>
          <w:rFonts w:ascii="Arial" w:eastAsia="宋体" w:hAnsi="Arial" w:cs="Arial" w:hint="eastAsia"/>
        </w:rPr>
        <w:t>, 2017</w:t>
      </w:r>
    </w:p>
    <w:p w14:paraId="2A746377" w14:textId="77777777" w:rsidR="004975E6" w:rsidRDefault="004975E6" w:rsidP="004975E6">
      <w:pPr>
        <w:jc w:val="center"/>
        <w:rPr>
          <w:rFonts w:ascii="Arial" w:eastAsia="宋体" w:hAnsi="Arial" w:cs="Arial"/>
        </w:rPr>
      </w:pPr>
    </w:p>
    <w:p w14:paraId="5DB4A171" w14:textId="0952041C" w:rsidR="004975E6" w:rsidRDefault="004975E6" w:rsidP="004975E6">
      <w:pPr>
        <w:jc w:val="center"/>
        <w:rPr>
          <w:rFonts w:ascii="Arial" w:eastAsia="宋体" w:hAnsi="Arial" w:cs="Arial"/>
        </w:rPr>
      </w:pPr>
      <w:r>
        <w:rPr>
          <w:rFonts w:ascii="Arial" w:eastAsia="宋体" w:hAnsi="Arial" w:cs="Arial"/>
        </w:rPr>
        <w:t>“</w:t>
      </w:r>
      <w:proofErr w:type="spellStart"/>
      <w:r>
        <w:rPr>
          <w:rFonts w:ascii="Arial" w:eastAsia="宋体" w:hAnsi="Arial" w:cs="Arial" w:hint="eastAsia"/>
        </w:rPr>
        <w:t>HongKong</w:t>
      </w:r>
      <w:proofErr w:type="spellEnd"/>
      <w:r>
        <w:rPr>
          <w:rFonts w:ascii="Arial" w:eastAsia="宋体" w:hAnsi="Arial" w:cs="Arial" w:hint="eastAsia"/>
        </w:rPr>
        <w:t xml:space="preserve"> SFC suggests that some tokens issued by ICO projects may belong to securities</w:t>
      </w:r>
      <w:r>
        <w:rPr>
          <w:rFonts w:ascii="Arial" w:eastAsia="宋体" w:hAnsi="Arial" w:cs="Arial"/>
        </w:rPr>
        <w:t>…</w:t>
      </w:r>
      <w:r w:rsidRPr="004975E6">
        <w:rPr>
          <w:rFonts w:asciiTheme="minorHAnsi" w:eastAsiaTheme="minorHAnsi" w:hAnsiTheme="minorHAnsi" w:hint="eastAsia"/>
          <w:color w:val="555555"/>
          <w:szCs w:val="28"/>
        </w:rPr>
        <w:t>”</w:t>
      </w:r>
    </w:p>
    <w:p w14:paraId="29FDEF26" w14:textId="0DCC513C" w:rsidR="004975E6" w:rsidRPr="00287E21" w:rsidRDefault="004975E6" w:rsidP="004975E6">
      <w:pPr>
        <w:jc w:val="center"/>
        <w:rPr>
          <w:rFonts w:ascii="Arial" w:eastAsia="宋体" w:hAnsi="Arial" w:cs="Arial"/>
        </w:rPr>
      </w:pPr>
      <w:r>
        <w:rPr>
          <w:rFonts w:ascii="Helvetica" w:hAnsi="Helvetica" w:cs="Helvetica"/>
          <w:noProof/>
        </w:rPr>
        <w:drawing>
          <wp:inline distT="0" distB="0" distL="0" distR="0" wp14:anchorId="725528C3" wp14:editId="307D9B1E">
            <wp:extent cx="5270500" cy="296418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964180"/>
                    </a:xfrm>
                    <a:prstGeom prst="rect">
                      <a:avLst/>
                    </a:prstGeom>
                    <a:noFill/>
                    <a:ln>
                      <a:noFill/>
                    </a:ln>
                  </pic:spPr>
                </pic:pic>
              </a:graphicData>
            </a:graphic>
          </wp:inline>
        </w:drawing>
      </w:r>
    </w:p>
    <w:p w14:paraId="03E57B7C" w14:textId="54F1CD36" w:rsidR="0067593F" w:rsidRDefault="0067593F" w:rsidP="004975E6">
      <w:pPr>
        <w:ind w:firstLine="420"/>
        <w:jc w:val="both"/>
        <w:rPr>
          <w:rFonts w:ascii="Arial" w:eastAsia="宋体" w:hAnsi="Arial" w:cs="Arial"/>
        </w:rPr>
      </w:pPr>
      <w:r>
        <w:rPr>
          <w:rFonts w:ascii="宋体" w:eastAsia="宋体" w:hAnsi="宋体" w:cs="宋体" w:hint="eastAsia"/>
          <w:color w:val="555555"/>
        </w:rPr>
        <w:t xml:space="preserve"> </w:t>
      </w:r>
      <w:r>
        <w:rPr>
          <w:rFonts w:ascii="Arial" w:eastAsia="宋体" w:hAnsi="Arial" w:cs="Arial"/>
        </w:rPr>
        <w:t>On September 5, 2017, Hong Kong Securities and Futures Commission (SFC) released</w:t>
      </w:r>
      <w:r>
        <w:rPr>
          <w:rFonts w:ascii="Arial" w:eastAsia="宋体" w:hAnsi="Arial" w:cs="Arial" w:hint="eastAsia"/>
        </w:rPr>
        <w:t xml:space="preserve"> </w:t>
      </w:r>
      <w:r w:rsidR="00885DB9">
        <w:rPr>
          <w:rFonts w:ascii="Arial" w:eastAsia="宋体" w:hAnsi="Arial" w:cs="Arial"/>
        </w:rPr>
        <w:t xml:space="preserve">the </w:t>
      </w:r>
      <w:r>
        <w:rPr>
          <w:rFonts w:ascii="Arial" w:eastAsia="宋体" w:hAnsi="Arial" w:cs="Arial" w:hint="eastAsia"/>
          <w:i/>
          <w:iCs/>
        </w:rPr>
        <w:t>Statement on Initial Coin Offerings</w:t>
      </w:r>
      <w:r>
        <w:rPr>
          <w:rFonts w:ascii="Arial" w:eastAsia="宋体" w:hAnsi="Arial" w:cs="Arial"/>
        </w:rPr>
        <w:t xml:space="preserve">, </w:t>
      </w:r>
      <w:r>
        <w:rPr>
          <w:rFonts w:ascii="Arial" w:eastAsia="宋体" w:hAnsi="Arial" w:cs="Arial" w:hint="eastAsia"/>
        </w:rPr>
        <w:t>announcing</w:t>
      </w:r>
      <w:r>
        <w:rPr>
          <w:rFonts w:ascii="Arial" w:eastAsia="宋体" w:hAnsi="Arial" w:cs="Arial"/>
        </w:rPr>
        <w:t xml:space="preserve"> that certain ICO</w:t>
      </w:r>
      <w:r>
        <w:rPr>
          <w:rFonts w:ascii="Arial" w:eastAsia="宋体" w:hAnsi="Arial" w:cs="Arial" w:hint="eastAsia"/>
        </w:rPr>
        <w:t xml:space="preserve"> </w:t>
      </w:r>
      <w:r>
        <w:rPr>
          <w:rFonts w:ascii="Arial" w:eastAsia="宋体" w:hAnsi="Arial" w:cs="Arial"/>
        </w:rPr>
        <w:t>tokens might be securities as defined in the Securities and Futures Ordinance (SFO), and subjected to the securities laws of Hong Kong. And parties engaging in a “regulated activity” are required to be licensed by or registered with the SFC irrespective of whether the parties involved are located in Hong Kong, so long as such business activities target the Hong Kong public.</w:t>
      </w:r>
    </w:p>
    <w:p w14:paraId="15BF0756" w14:textId="7185FBBF" w:rsidR="0067593F" w:rsidRDefault="0067593F" w:rsidP="004975E6">
      <w:pPr>
        <w:ind w:firstLine="420"/>
        <w:jc w:val="both"/>
        <w:rPr>
          <w:rFonts w:ascii="Arial" w:eastAsia="宋体" w:hAnsi="Arial" w:cs="Arial"/>
        </w:rPr>
      </w:pPr>
      <w:r>
        <w:rPr>
          <w:rFonts w:ascii="Arial" w:eastAsia="宋体" w:hAnsi="Arial" w:cs="Arial"/>
        </w:rPr>
        <w:t xml:space="preserve">Just the day before, seven government </w:t>
      </w:r>
      <w:r w:rsidR="005A1571">
        <w:rPr>
          <w:rFonts w:ascii="Arial" w:eastAsia="宋体" w:hAnsi="Arial" w:cs="Arial" w:hint="eastAsia"/>
        </w:rPr>
        <w:t>authorities</w:t>
      </w:r>
      <w:r>
        <w:rPr>
          <w:rFonts w:ascii="Arial" w:eastAsia="宋体" w:hAnsi="Arial" w:cs="Arial"/>
        </w:rPr>
        <w:t xml:space="preserve"> in Chinese mainland </w:t>
      </w:r>
      <w:r>
        <w:rPr>
          <w:rFonts w:ascii="Arial" w:eastAsia="宋体" w:hAnsi="Arial" w:cs="Arial" w:hint="eastAsia"/>
        </w:rPr>
        <w:t xml:space="preserve">jointly </w:t>
      </w:r>
      <w:r>
        <w:rPr>
          <w:rFonts w:ascii="Arial" w:eastAsia="宋体" w:hAnsi="Arial" w:cs="Arial"/>
        </w:rPr>
        <w:t>issued a</w:t>
      </w:r>
      <w:r w:rsidR="00F409EF">
        <w:rPr>
          <w:rFonts w:ascii="Arial" w:eastAsia="宋体" w:hAnsi="Arial" w:cs="Arial" w:hint="eastAsia"/>
        </w:rPr>
        <w:t xml:space="preserve"> Statement</w:t>
      </w:r>
      <w:r>
        <w:rPr>
          <w:rFonts w:ascii="Arial" w:eastAsia="宋体" w:hAnsi="Arial" w:cs="Arial"/>
        </w:rPr>
        <w:t xml:space="preserve"> </w:t>
      </w:r>
      <w:r w:rsidR="00F409EF">
        <w:rPr>
          <w:rFonts w:ascii="Arial" w:eastAsia="宋体" w:hAnsi="Arial" w:cs="Arial" w:hint="eastAsia"/>
        </w:rPr>
        <w:t xml:space="preserve">on the ban of ICO activities, </w:t>
      </w:r>
      <w:r>
        <w:rPr>
          <w:rFonts w:ascii="Arial" w:eastAsia="宋体" w:hAnsi="Arial" w:cs="Arial"/>
        </w:rPr>
        <w:t xml:space="preserve">calling for the immediate </w:t>
      </w:r>
      <w:r>
        <w:rPr>
          <w:rFonts w:ascii="Arial" w:eastAsia="宋体" w:hAnsi="Arial" w:cs="Arial" w:hint="eastAsia"/>
        </w:rPr>
        <w:t>halt</w:t>
      </w:r>
      <w:r>
        <w:rPr>
          <w:rFonts w:ascii="Arial" w:eastAsia="宋体" w:hAnsi="Arial" w:cs="Arial"/>
        </w:rPr>
        <w:t xml:space="preserve"> of all ICO tokens </w:t>
      </w:r>
      <w:r w:rsidR="005A1571">
        <w:rPr>
          <w:rFonts w:ascii="Arial" w:eastAsia="宋体" w:hAnsi="Arial" w:cs="Arial"/>
        </w:rPr>
        <w:t>issuance</w:t>
      </w:r>
      <w:r w:rsidR="005A1571">
        <w:rPr>
          <w:rFonts w:ascii="Arial" w:eastAsia="宋体" w:hAnsi="Arial" w:cs="Arial" w:hint="eastAsia"/>
        </w:rPr>
        <w:t xml:space="preserve"> </w:t>
      </w:r>
      <w:r>
        <w:rPr>
          <w:rFonts w:ascii="Arial" w:eastAsia="宋体" w:hAnsi="Arial" w:cs="Arial"/>
        </w:rPr>
        <w:t>within the country.</w:t>
      </w:r>
    </w:p>
    <w:p w14:paraId="7909EA4C" w14:textId="77777777" w:rsidR="0067593F" w:rsidRDefault="0067593F" w:rsidP="00F73ABD">
      <w:pPr>
        <w:ind w:firstLineChars="200" w:firstLine="560"/>
        <w:rPr>
          <w:rFonts w:asciiTheme="minorHAnsi" w:eastAsiaTheme="minorHAnsi" w:hAnsiTheme="minorHAnsi"/>
          <w:sz w:val="28"/>
          <w:szCs w:val="28"/>
        </w:rPr>
      </w:pPr>
    </w:p>
    <w:p w14:paraId="222FC5EA" w14:textId="700A5235" w:rsidR="007436BD" w:rsidRPr="004975E6" w:rsidRDefault="007436BD" w:rsidP="00945481">
      <w:pPr>
        <w:jc w:val="both"/>
        <w:rPr>
          <w:sz w:val="20"/>
        </w:rPr>
      </w:pPr>
      <w:r w:rsidRPr="004975E6">
        <w:rPr>
          <w:rFonts w:hint="eastAsia"/>
          <w:sz w:val="20"/>
        </w:rPr>
        <w:t>标签：</w:t>
      </w:r>
      <w:r w:rsidRPr="004975E6">
        <w:rPr>
          <w:rFonts w:hint="eastAsia"/>
          <w:sz w:val="20"/>
          <w:shd w:val="pct15" w:color="auto" w:fill="FFFFFF"/>
        </w:rPr>
        <w:t>ICO</w:t>
      </w:r>
      <w:r w:rsidRPr="004975E6">
        <w:rPr>
          <w:rFonts w:hint="eastAsia"/>
          <w:sz w:val="20"/>
        </w:rPr>
        <w:t>；</w:t>
      </w:r>
      <w:r>
        <w:rPr>
          <w:rFonts w:ascii="Arial" w:eastAsia="宋体" w:hAnsi="Arial" w:cs="Arial"/>
        </w:rPr>
        <w:t xml:space="preserve"> </w:t>
      </w:r>
      <w:r w:rsidRPr="007436BD">
        <w:rPr>
          <w:sz w:val="20"/>
          <w:shd w:val="pct15" w:color="auto" w:fill="FFFFFF"/>
        </w:rPr>
        <w:t>SFC</w:t>
      </w:r>
    </w:p>
    <w:p w14:paraId="1DC86346" w14:textId="77777777" w:rsidR="007436BD" w:rsidRPr="004975E6" w:rsidRDefault="007436BD" w:rsidP="00945481">
      <w:pPr>
        <w:jc w:val="both"/>
        <w:rPr>
          <w:sz w:val="20"/>
        </w:rPr>
      </w:pPr>
      <w:r w:rsidRPr="004975E6">
        <w:rPr>
          <w:rFonts w:hint="eastAsia"/>
          <w:sz w:val="20"/>
        </w:rPr>
        <w:t>总浏览数：</w:t>
      </w:r>
      <w:r w:rsidRPr="004975E6">
        <w:rPr>
          <w:rFonts w:hint="eastAsia"/>
          <w:sz w:val="20"/>
        </w:rPr>
        <w:t>***</w:t>
      </w:r>
    </w:p>
    <w:p w14:paraId="2B952FED" w14:textId="77777777" w:rsidR="007436BD" w:rsidRPr="004975E6" w:rsidRDefault="007436BD" w:rsidP="007436BD">
      <w:pPr>
        <w:ind w:firstLine="560"/>
        <w:jc w:val="both"/>
        <w:rPr>
          <w:sz w:val="20"/>
        </w:rPr>
      </w:pPr>
    </w:p>
    <w:p w14:paraId="3CCBCE84" w14:textId="77777777" w:rsidR="00945481" w:rsidRPr="004B38C9" w:rsidRDefault="00945481" w:rsidP="00945481">
      <w:pPr>
        <w:jc w:val="both"/>
        <w:rPr>
          <w:rFonts w:ascii="DengXian" w:eastAsia="DengXian" w:hAnsi="DengXian" w:cs="Arial"/>
          <w:i/>
          <w:sz w:val="22"/>
          <w:szCs w:val="22"/>
        </w:rPr>
      </w:pPr>
      <w:r w:rsidRPr="00FC2110">
        <w:rPr>
          <w:rFonts w:ascii="Helvetica" w:eastAsia="Songti SC" w:hAnsi="Helvetica" w:cs="Helvetica"/>
          <w:i/>
          <w:sz w:val="22"/>
          <w:szCs w:val="32"/>
        </w:rPr>
        <w:t>【</w:t>
      </w:r>
      <w:r w:rsidRPr="00FC2110">
        <w:rPr>
          <w:rFonts w:ascii="DengXian" w:eastAsia="DengXian" w:hAnsi="DengXian" w:cs="Arial"/>
          <w:i/>
          <w:sz w:val="22"/>
          <w:szCs w:val="22"/>
        </w:rPr>
        <w:t xml:space="preserve">Declaration: Please indicate the source if repost the article in UNITIMES. Opinions expressed by Contributors </w:t>
      </w:r>
      <w:r w:rsidRPr="00FC2110">
        <w:rPr>
          <w:rFonts w:ascii="DengXian" w:eastAsia="DengXian" w:hAnsi="DengXian" w:cs="Arial" w:hint="eastAsia"/>
          <w:i/>
          <w:sz w:val="22"/>
          <w:szCs w:val="22"/>
        </w:rPr>
        <w:t>belong to themselves</w:t>
      </w:r>
      <w:r>
        <w:rPr>
          <w:rFonts w:ascii="DengXian" w:eastAsia="DengXian" w:hAnsi="DengXian" w:cs="Arial" w:hint="eastAsia"/>
          <w:i/>
          <w:sz w:val="22"/>
          <w:szCs w:val="22"/>
        </w:rPr>
        <w:t>.</w:t>
      </w:r>
      <w:r w:rsidRPr="00EB6593">
        <w:rPr>
          <w:rFonts w:ascii="Helvetica" w:eastAsia="Songti SC" w:hAnsi="Helvetica" w:cs="Helvetica"/>
          <w:i/>
          <w:sz w:val="22"/>
          <w:szCs w:val="32"/>
        </w:rPr>
        <w:t>】</w:t>
      </w:r>
    </w:p>
    <w:p w14:paraId="0B0A38C0" w14:textId="77777777" w:rsidR="007436BD" w:rsidRPr="007436BD" w:rsidRDefault="007436BD" w:rsidP="00F73ABD">
      <w:pPr>
        <w:ind w:firstLineChars="200" w:firstLine="560"/>
        <w:rPr>
          <w:rFonts w:asciiTheme="minorHAnsi" w:eastAsiaTheme="minorHAnsi" w:hAnsiTheme="minorHAnsi"/>
          <w:sz w:val="28"/>
          <w:szCs w:val="28"/>
        </w:rPr>
      </w:pPr>
    </w:p>
    <w:sectPr w:rsidR="007436BD" w:rsidRPr="007436BD" w:rsidSect="000F1E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Songti SC">
    <w:panose1 w:val="02010600040101010101"/>
    <w:charset w:val="86"/>
    <w:family w:val="roman"/>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0490F"/>
    <w:multiLevelType w:val="multilevel"/>
    <w:tmpl w:val="1A74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298"/>
    <w:rsid w:val="000138F8"/>
    <w:rsid w:val="000F1E80"/>
    <w:rsid w:val="001070A7"/>
    <w:rsid w:val="00287E21"/>
    <w:rsid w:val="00384298"/>
    <w:rsid w:val="00464427"/>
    <w:rsid w:val="004975E6"/>
    <w:rsid w:val="00501177"/>
    <w:rsid w:val="005A1571"/>
    <w:rsid w:val="0067593F"/>
    <w:rsid w:val="007436BD"/>
    <w:rsid w:val="00861B62"/>
    <w:rsid w:val="00885DB9"/>
    <w:rsid w:val="00945481"/>
    <w:rsid w:val="00981A4E"/>
    <w:rsid w:val="009A1ABC"/>
    <w:rsid w:val="009D730C"/>
    <w:rsid w:val="00AC6BA6"/>
    <w:rsid w:val="00B454D1"/>
    <w:rsid w:val="00C14E25"/>
    <w:rsid w:val="00CE0830"/>
    <w:rsid w:val="00F409EF"/>
    <w:rsid w:val="00F66FBB"/>
    <w:rsid w:val="00F73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0E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14E25"/>
    <w:rPr>
      <w:rFonts w:ascii="Times New Roman" w:hAnsi="Times New Roman" w:cs="Times New Roman"/>
      <w:kern w:val="0"/>
    </w:rPr>
  </w:style>
  <w:style w:type="paragraph" w:styleId="1">
    <w:name w:val="heading 1"/>
    <w:basedOn w:val="a"/>
    <w:link w:val="10"/>
    <w:uiPriority w:val="9"/>
    <w:qFormat/>
    <w:rsid w:val="00384298"/>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84298"/>
    <w:rPr>
      <w:rFonts w:ascii="Times New Roman" w:hAnsi="Times New Roman" w:cs="Times New Roman"/>
      <w:b/>
      <w:bCs/>
      <w:kern w:val="36"/>
      <w:sz w:val="48"/>
      <w:szCs w:val="48"/>
    </w:rPr>
  </w:style>
  <w:style w:type="character" w:customStyle="1" w:styleId="apple-converted-space">
    <w:name w:val="apple-converted-space"/>
    <w:basedOn w:val="a0"/>
    <w:rsid w:val="00384298"/>
  </w:style>
  <w:style w:type="character" w:styleId="a3">
    <w:name w:val="Hyperlink"/>
    <w:basedOn w:val="a0"/>
    <w:uiPriority w:val="99"/>
    <w:semiHidden/>
    <w:unhideWhenUsed/>
    <w:rsid w:val="00384298"/>
    <w:rPr>
      <w:color w:val="0000FF"/>
      <w:u w:val="single"/>
    </w:rPr>
  </w:style>
  <w:style w:type="character" w:customStyle="1" w:styleId="pull-right">
    <w:name w:val="pull-right"/>
    <w:basedOn w:val="a0"/>
    <w:rsid w:val="00384298"/>
  </w:style>
  <w:style w:type="paragraph" w:styleId="a4">
    <w:name w:val="Normal (Web)"/>
    <w:basedOn w:val="a"/>
    <w:uiPriority w:val="99"/>
    <w:semiHidden/>
    <w:unhideWhenUsed/>
    <w:rsid w:val="00384298"/>
    <w:pPr>
      <w:spacing w:before="100" w:beforeAutospacing="1" w:after="100" w:afterAutospacing="1"/>
    </w:pPr>
  </w:style>
  <w:style w:type="character" w:styleId="a5">
    <w:name w:val="Strong"/>
    <w:basedOn w:val="a0"/>
    <w:uiPriority w:val="22"/>
    <w:qFormat/>
    <w:rsid w:val="003842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91944">
      <w:bodyDiv w:val="1"/>
      <w:marLeft w:val="0"/>
      <w:marRight w:val="0"/>
      <w:marTop w:val="0"/>
      <w:marBottom w:val="0"/>
      <w:divBdr>
        <w:top w:val="none" w:sz="0" w:space="0" w:color="auto"/>
        <w:left w:val="none" w:sz="0" w:space="0" w:color="auto"/>
        <w:bottom w:val="none" w:sz="0" w:space="0" w:color="auto"/>
        <w:right w:val="none" w:sz="0" w:space="0" w:color="auto"/>
      </w:divBdr>
      <w:divsChild>
        <w:div w:id="169413912">
          <w:marLeft w:val="0"/>
          <w:marRight w:val="0"/>
          <w:marTop w:val="0"/>
          <w:marBottom w:val="0"/>
          <w:divBdr>
            <w:top w:val="none" w:sz="0" w:space="0" w:color="auto"/>
            <w:left w:val="none" w:sz="0" w:space="0" w:color="auto"/>
            <w:bottom w:val="single" w:sz="6" w:space="8" w:color="DDDDDD"/>
            <w:right w:val="none" w:sz="0" w:space="0" w:color="auto"/>
          </w:divBdr>
        </w:div>
        <w:div w:id="1039204391">
          <w:marLeft w:val="0"/>
          <w:marRight w:val="0"/>
          <w:marTop w:val="0"/>
          <w:marBottom w:val="0"/>
          <w:divBdr>
            <w:top w:val="none" w:sz="0" w:space="0" w:color="auto"/>
            <w:left w:val="none" w:sz="0" w:space="0" w:color="auto"/>
            <w:bottom w:val="none" w:sz="0" w:space="0" w:color="auto"/>
            <w:right w:val="none" w:sz="0" w:space="0" w:color="auto"/>
          </w:divBdr>
          <w:divsChild>
            <w:div w:id="1628124035">
              <w:marLeft w:val="0"/>
              <w:marRight w:val="0"/>
              <w:marTop w:val="0"/>
              <w:marBottom w:val="0"/>
              <w:divBdr>
                <w:top w:val="none" w:sz="0" w:space="0" w:color="auto"/>
                <w:left w:val="none" w:sz="0" w:space="0" w:color="auto"/>
                <w:bottom w:val="none" w:sz="0" w:space="0" w:color="auto"/>
                <w:right w:val="none" w:sz="0" w:space="0" w:color="auto"/>
              </w:divBdr>
            </w:div>
          </w:divsChild>
        </w:div>
        <w:div w:id="1372460064">
          <w:marLeft w:val="0"/>
          <w:marRight w:val="0"/>
          <w:marTop w:val="0"/>
          <w:marBottom w:val="150"/>
          <w:divBdr>
            <w:top w:val="none" w:sz="0" w:space="0" w:color="auto"/>
            <w:left w:val="none" w:sz="0" w:space="0" w:color="auto"/>
            <w:bottom w:val="none" w:sz="0" w:space="0" w:color="auto"/>
            <w:right w:val="none" w:sz="0" w:space="0" w:color="auto"/>
          </w:divBdr>
        </w:div>
      </w:divsChild>
    </w:div>
    <w:div w:id="1749498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219</Words>
  <Characters>1251</Characters>
  <Application>Microsoft Macintosh Word</Application>
  <DocSecurity>0</DocSecurity>
  <Lines>10</Lines>
  <Paragraphs>2</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香港证监会：部分ICO代币在港需受证券法规监管</vt:lpstr>
      <vt:lpstr>作者：徐雪    2017.9.5</vt:lpstr>
      <vt:lpstr>“香港证监会表示，部分ICO项目发行的代币可能属于证券…”</vt:lpstr>
      <vt:lpstr>/</vt:lpstr>
    </vt:vector>
  </TitlesOfParts>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2017-09-23T15:00:00Z</dcterms:created>
  <dcterms:modified xsi:type="dcterms:W3CDTF">2017-10-11T03:38:00Z</dcterms:modified>
</cp:coreProperties>
</file>