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eastAsia="Microsoft YaHei" w:hAnsi="Calibri"/>
          <w:b/>
          <w:bCs/>
          <w:sz w:val="36"/>
          <w:szCs w:val="36"/>
        </w:rPr>
        <w:t xml:space="preserve">ICRA 2027 冲刺任务规划表（个人版）</w:t>
      </w:r>
    </w:p>
    <w:p>
      <w:pPr>
        <w:spacing w:after="200"/>
        <w:jc w:val="center"/>
      </w:pPr>
      <w:r>
        <w:rPr>
          <w:rFonts w:ascii="Calibri" w:eastAsia="Microsoft YaHei" w:hAnsi="Calibri"/>
          <w:b w:val="false"/>
          <w:bCs w:val="false"/>
          <w:color w:val="666666"/>
          <w:sz w:val="22"/>
          <w:szCs w:val="22"/>
        </w:rPr>
        <w:t xml:space="preserve">2026年8月1日 – 9月15日｜截稿：9月15日（周二）｜目标：ICRA（CCF-B）</w:t>
      </w:r>
    </w:p>
    <w:p>
      <w:pPr>
        <w:pStyle w:val="Heading1"/>
        <w:spacing w:after="120" w:before="240"/>
      </w:pPr>
      <w:r>
        <w:rPr>
          <w:rFonts w:ascii="Calibri" w:eastAsia="Microsoft YaHei" w:hAnsi="Calibri"/>
          <w:b/>
          <w:bCs/>
        </w:rPr>
        <w:t xml:space="preserve">〇、总览</w:t>
      </w:r>
    </w:p>
    <w:p>
      <w:pPr>
        <w:spacing w:after="8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单人执行，范围按单人承载力设定：仿真为主战场（2个接触任务的完整消融矩阵）+ 实机验证（1-2个任务），全部由我完成。</w:t>
      </w:r>
    </w:p>
    <w:p>
      <w:pPr>
        <w:spacing w:after="8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硬件与工具：自制6自由度机械臂（飞特ST3215磁编码舵机×6，遥操作已调通）；仿真MuJoCo（gym-aloha / mujoco_menagerie，SO-ARM100模型改制）；训练AutoDL租卡（约¥2/小时，全程预算约¥200）。</w:t>
      </w:r>
    </w:p>
    <w:p>
      <w:pPr>
        <w:spacing w:after="8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候选方向（8.7拍板，二选一）：A. 重试扩展——执行→验证→重试闭环，刻画“尝试预算-成功率”扩展曲线；C. 电流力觉——舵机电流作为零成本力觉信号做接触丰富任务。共同底座：ACT模仿学习，仿真大规模消融+实机验证。</w:t>
      </w:r>
    </w:p>
    <w:p>
      <w:pPr>
        <w:spacing w:after="80"/>
      </w:pPr>
      <w:r>
        <w:rPr>
          <w:rFonts w:ascii="Calibri" w:eastAsia="Microsoft YaHei" w:hAnsi="Calibri"/>
          <w:b/>
          <w:bCs/>
          <w:sz w:val="21"/>
          <w:szCs w:val="21"/>
        </w:rPr>
        <w:t xml:space="preserve">三条生死线：8.7 定方向｜8.14 核心图成立｜9.4 结果冻结</w:t>
      </w:r>
    </w:p>
    <w:p>
      <w:pPr>
        <w:pStyle w:val="Heading1"/>
        <w:spacing w:after="120" w:before="240"/>
      </w:pPr>
      <w:r>
        <w:rPr>
          <w:rFonts w:ascii="Calibri" w:eastAsia="Microsoft YaHei" w:hAnsi="Calibri"/>
          <w:b/>
          <w:bCs/>
        </w:rPr>
        <w:t xml:space="preserve">一、预备周末（8.1–8.2）：环境与原理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"/>
        <w:gridCol w:w="5080"/>
        <w:gridCol w:w="23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星期</w:t>
            </w:r>
          </w:p>
        </w:tc>
        <w:tc>
          <w:tcPr>
            <w:tcW w:type="dxa" w:w="50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验收 / 交付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8.1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六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装LeRobot+MuJoCo环境；注册AutoDL；ACT论文第一遍通读，标出所有疑点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环境跑起来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8.2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日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ACT第二遍精读，对照LeRobot源码modeling_act.py；能解释动作分块为何抗误差累积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原理过关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YaHei" w:hAnsi="Calibri"/>
          <w:b/>
          <w:bCs/>
        </w:rPr>
        <w:t xml:space="preserve">二、第1周（8.3–8.9）：全流程打通 + 定方向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"/>
        <w:gridCol w:w="5080"/>
        <w:gridCol w:w="23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星期</w:t>
            </w:r>
          </w:p>
        </w:tc>
        <w:tc>
          <w:tcPr>
            <w:tcW w:type="dxa" w:w="50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验收 / 交付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8.3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一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拉mujoco_menagerie跑SO-ARM100示例；gym-aloha跑通渲染；MJCF四标签教程（body/joint/actuator/sensor）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仿真环境全通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8.4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二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gym-aloha脚本采演示，搞懂LeRobotDataset格式；AutoDL配镜像，1000步试训验证流程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数据能存读、云端能训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三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租卡正式训第一个ACT（gym-aloha搬方块任务）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训练在跑</w:t>
            </w:r>
          </w:p>
        </w:tc>
      </w:tr>
      <w:tr>
        <w:tc>
          <w:tcPr>
            <w:tcW w:type="dxa" w:w="1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8.6</w:t>
            </w:r>
          </w:p>
        </w:tc>
        <w:tc>
          <w:tcPr>
            <w:tcW w:type="dxa" w:w="62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四</w:t>
            </w:r>
          </w:p>
        </w:tc>
        <w:tc>
          <w:tcPr>
            <w:tcW w:type="dxa" w:w="508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评测第一条策略；复盘loss曲线；ACT的forward函数逐行读懂（输入怎么变token）</w:t>
            </w:r>
          </w:p>
        </w:tc>
        <w:tc>
          <w:tcPr>
            <w:tcW w:type="dxa" w:w="2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★交付1：成功率数字</w:t>
            </w:r>
          </w:p>
        </w:tc>
      </w:tr>
      <w:tr>
        <w:tc>
          <w:tcPr>
            <w:tcW w:type="dxa" w:w="1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8.7</w:t>
            </w:r>
          </w:p>
        </w:tc>
        <w:tc>
          <w:tcPr>
            <w:tcW w:type="dxa" w:w="62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五</w:t>
            </w:r>
          </w:p>
        </w:tc>
        <w:tc>
          <w:tcPr>
            <w:tcW w:type="dxa" w:w="508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★定方向：A重试扩展 / C电流力觉，依据占坑排查报告，与导师确认后写一页研究计划</w:t>
            </w:r>
          </w:p>
        </w:tc>
        <w:tc>
          <w:tcPr>
            <w:tcW w:type="dxa" w:w="2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★方向白纸黑字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8.8–8.9</w:t>
            </w:r>
          </w:p>
        </w:tc>
        <w:tc>
          <w:tcPr>
            <w:tcW w:type="dxa" w:w="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六日</w:t>
            </w:r>
          </w:p>
        </w:tc>
        <w:tc>
          <w:tcPr>
            <w:tcW w:type="dxa" w:w="5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量臂的连杆尺寸与关节布局；开始把SO-ARM100的MJCF改为自制臂（结构与尺寸）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建模开工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YaHei" w:hAnsi="Calibri"/>
          <w:b/>
          <w:bCs/>
        </w:rPr>
        <w:t xml:space="preserve">三、第2周（8.10–8.16）：自制臂进仿真 + 核心信号（成败周）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"/>
        <w:gridCol w:w="5080"/>
        <w:gridCol w:w="23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星期</w:t>
            </w:r>
          </w:p>
        </w:tc>
        <w:tc>
          <w:tcPr>
            <w:tcW w:type="dxa" w:w="50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验收 / 交付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8.10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一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MJCF：写入ST3215参数（30kg·cm扭矩、1/345减速比、关节限位）、碰撞体、夹爪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模型主体完成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8.11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二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MuJoCo viewer验证运动学；搭抓取场景+关节力矩传感器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臂能动、力矩可读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8.12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三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接触任务1：插销入孔场景（公差先松）；采仿真演示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任务1可跑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8.13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四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核心对比第一组训练（按方向：力矩开/关 或 重试1/2/4次）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第一组结果</w:t>
            </w:r>
          </w:p>
        </w:tc>
      </w:tr>
      <w:tr>
        <w:tc>
          <w:tcPr>
            <w:tcW w:type="dxa" w:w="1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8.14</w:t>
            </w:r>
          </w:p>
        </w:tc>
        <w:tc>
          <w:tcPr>
            <w:tcW w:type="dxa" w:w="62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五</w:t>
            </w:r>
          </w:p>
        </w:tc>
        <w:tc>
          <w:tcPr>
            <w:tcW w:type="dxa" w:w="508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★决策点：第二组收数，画核心对比图。成立→第3周铺矩阵；不成立→切保底叙事（低成本臂接触任务benchmark），目标不变</w:t>
            </w:r>
          </w:p>
        </w:tc>
        <w:tc>
          <w:tcPr>
            <w:tcW w:type="dxa" w:w="2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★核心图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8.15–8.16</w:t>
            </w:r>
          </w:p>
        </w:tc>
        <w:tc>
          <w:tcPr>
            <w:tcW w:type="dxa" w:w="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六日</w:t>
            </w:r>
          </w:p>
        </w:tc>
        <w:tc>
          <w:tcPr>
            <w:tcW w:type="dxa" w:w="5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缓冲：不理想的组重训调参；Diffusion Policy与Bi-ACT速读（懂接口与差异）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YaHei" w:hAnsi="Calibri"/>
          <w:b/>
          <w:bCs/>
        </w:rPr>
        <w:t xml:space="preserve">四、第3周（8.17–8.23）：仿真矩阵 + 实机开采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"/>
        <w:gridCol w:w="5080"/>
        <w:gridCol w:w="23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星期</w:t>
            </w:r>
          </w:p>
        </w:tc>
        <w:tc>
          <w:tcPr>
            <w:tcW w:type="dxa" w:w="50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验收 / 交付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8.17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一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接触任务2：拧盖场景；批量训练启动（2任务×2配置×3种子=12个，租卡并行）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矩阵在跑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8.18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二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难度梯度实验启动（公差从松到紧）；实机录制配置确认包含电流通道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梯度数据在产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8.19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三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实机任务1采50条演示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实机数据集1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8.20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四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实机模型租卡开训；仿真第一批结果收表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表格开始填数</w:t>
            </w:r>
          </w:p>
        </w:tc>
      </w:tr>
      <w:tr>
        <w:tc>
          <w:tcPr>
            <w:tcW w:type="dxa" w:w="1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8.21</w:t>
            </w:r>
          </w:p>
        </w:tc>
        <w:tc>
          <w:tcPr>
            <w:tcW w:type="dxa" w:w="62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五</w:t>
            </w:r>
          </w:p>
        </w:tc>
        <w:tc>
          <w:tcPr>
            <w:tcW w:type="dxa" w:w="508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自查对表：仿真结果表初版，列缺口清单</w:t>
            </w:r>
          </w:p>
        </w:tc>
        <w:tc>
          <w:tcPr>
            <w:tcW w:type="dxa" w:w="2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缺口清单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8.22–8.23</w:t>
            </w:r>
          </w:p>
        </w:tc>
        <w:tc>
          <w:tcPr>
            <w:tcW w:type="dxa" w:w="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六日</w:t>
            </w:r>
          </w:p>
        </w:tc>
        <w:tc>
          <w:tcPr>
            <w:tcW w:type="dxa" w:w="5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机动：实机任务2采50条（如进度允许）；仿真补训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YaHei" w:hAnsi="Calibri"/>
          <w:b/>
          <w:bCs/>
        </w:rPr>
        <w:t xml:space="preserve">五、第4周（8.24–8.30）：实机评测与补漏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"/>
        <w:gridCol w:w="5080"/>
        <w:gridCol w:w="23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星期</w:t>
            </w:r>
          </w:p>
        </w:tc>
        <w:tc>
          <w:tcPr>
            <w:tcW w:type="dxa" w:w="50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验收 / 交付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8.24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一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实机评测日1：任务1×2配置×各20次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实机表半成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8.25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二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实机评测日2：任务2（或任务1复评补种子）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实机表完成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8.26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三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以审稿人视角列补漏清单 → 补漏实验（失败案例分析/推理速度表，按需选做）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清单定稿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8.27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四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难度梯度曲线收齐；系统图、流程图初版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核心图齐</w:t>
            </w:r>
          </w:p>
        </w:tc>
      </w:tr>
      <w:tr>
        <w:tc>
          <w:tcPr>
            <w:tcW w:type="dxa" w:w="1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8.28</w:t>
            </w:r>
          </w:p>
        </w:tc>
        <w:tc>
          <w:tcPr>
            <w:tcW w:type="dxa" w:w="62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五</w:t>
            </w:r>
          </w:p>
        </w:tc>
        <w:tc>
          <w:tcPr>
            <w:tcW w:type="dxa" w:w="508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全部数据核查对表，标出最后缺口</w:t>
            </w:r>
          </w:p>
        </w:tc>
        <w:tc>
          <w:tcPr>
            <w:tcW w:type="dxa" w:w="2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8.29–8.30</w:t>
            </w:r>
          </w:p>
        </w:tc>
        <w:tc>
          <w:tcPr>
            <w:tcW w:type="dxa" w:w="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六日</w:t>
            </w:r>
          </w:p>
        </w:tc>
        <w:tc>
          <w:tcPr>
            <w:tcW w:type="dxa" w:w="5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缓冲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YaHei" w:hAnsi="Calibri"/>
          <w:b/>
          <w:bCs/>
        </w:rPr>
        <w:t xml:space="preserve">六、第5周（8.31–9.6）：结果冻结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"/>
        <w:gridCol w:w="5080"/>
        <w:gridCol w:w="23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星期</w:t>
            </w:r>
          </w:p>
        </w:tc>
        <w:tc>
          <w:tcPr>
            <w:tcW w:type="dxa" w:w="50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验收 / 交付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8.31–9.1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一二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最后补漏；所有表格与图定稿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图表包完整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9.2–9.3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三四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实验视频拍摄+剪辑（ICRA视频附件必做）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视频成片</w:t>
            </w:r>
          </w:p>
        </w:tc>
      </w:tr>
      <w:tr>
        <w:tc>
          <w:tcPr>
            <w:tcW w:type="dxa" w:w="1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9.4</w:t>
            </w:r>
          </w:p>
        </w:tc>
        <w:tc>
          <w:tcPr>
            <w:tcW w:type="dxa" w:w="62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五</w:t>
            </w:r>
          </w:p>
        </w:tc>
        <w:tc>
          <w:tcPr>
            <w:tcW w:type="dxa" w:w="508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★结果冻结：此后不跑任何新实验</w:t>
            </w:r>
          </w:p>
        </w:tc>
        <w:tc>
          <w:tcPr>
            <w:tcW w:type="dxa" w:w="2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★冻结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9.5–9.6</w:t>
            </w:r>
          </w:p>
        </w:tc>
        <w:tc>
          <w:tcPr>
            <w:tcW w:type="dxa" w:w="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六日</w:t>
            </w:r>
          </w:p>
        </w:tc>
        <w:tc>
          <w:tcPr>
            <w:tcW w:type="dxa" w:w="5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休整半天；LaTeX模板准备、图表预排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YaHei" w:hAnsi="Calibri"/>
          <w:b/>
          <w:bCs/>
        </w:rPr>
        <w:t xml:space="preserve">七、写作周（9.7–9.15）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"/>
        <w:gridCol w:w="5080"/>
        <w:gridCol w:w="23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星期</w:t>
            </w:r>
          </w:p>
        </w:tc>
        <w:tc>
          <w:tcPr>
            <w:tcW w:type="dxa" w:w="508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验收 / 交付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9.7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一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LaTeX模板+全部图表排入定骨架；写实验设置细节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骨架成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9.8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二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实验章节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9.9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三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方法章节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9.10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四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Intro + Related Work（故事已清楚，最后写）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9.11</w:t>
            </w:r>
          </w:p>
        </w:tc>
        <w:tc>
          <w:tcPr>
            <w:tcW w:type="dxa" w:w="62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五</w:t>
            </w:r>
          </w:p>
        </w:tc>
        <w:tc>
          <w:tcPr>
            <w:tcW w:type="dxa" w:w="508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初稿完成，发导师；AI辅助过逻辑与语言</w:t>
            </w:r>
          </w:p>
        </w:tc>
        <w:tc>
          <w:tcPr>
            <w:tcW w:type="dxa" w:w="2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初稿出手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9.12–9.13</w:t>
            </w:r>
          </w:p>
        </w:tc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六日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合并导师意见，修改轮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9.14</w:t>
            </w:r>
          </w:p>
        </w:tc>
        <w:tc>
          <w:tcPr>
            <w:tcW w:type="dxa" w:w="62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一</w:t>
            </w:r>
          </w:p>
        </w:tc>
        <w:tc>
          <w:tcPr>
            <w:tcW w:type="dxa" w:w="508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/>
                <w:bCs/>
                <w:sz w:val="20"/>
                <w:szCs w:val="20"/>
              </w:rPr>
              <w:t xml:space="preserve">格式/参考文献/匿名化检查 → 提交（留一天buffer，不赌截稿日服务器）</w:t>
            </w:r>
          </w:p>
        </w:tc>
        <w:tc>
          <w:tcPr>
            <w:tcW w:type="dxa" w:w="23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★投稿完成</w:t>
            </w:r>
          </w:p>
        </w:tc>
      </w:tr>
      <w:tr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9.15</w:t>
            </w:r>
          </w:p>
        </w:tc>
        <w:tc>
          <w:tcPr>
            <w:tcW w:type="dxa" w:w="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二</w:t>
            </w:r>
          </w:p>
        </w:tc>
        <w:tc>
          <w:tcPr>
            <w:tcW w:type="dxa" w:w="5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>官方截止日（原则上不使用）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eastAsia="Microsoft YaHe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Calibri" w:eastAsia="Microsoft YaHei" w:hAnsi="Calibri"/>
          <w:b/>
          <w:bCs/>
        </w:rPr>
        <w:t xml:space="preserve">八、执行铁律</w:t>
      </w:r>
    </w:p>
    <w:p>
      <w:pPr>
        <w:spacing w:after="8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1. 读论文每天不超过2小时，其余时间写代码；理解的判据是能改代码验证，不是能复述。</w:t>
      </w:r>
    </w:p>
    <w:p>
      <w:pPr>
        <w:spacing w:after="8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2. 租卡即用即关；正式训练前先1000步试跑确认无bug，避免烧钱调试。</w:t>
      </w:r>
    </w:p>
    <w:p>
      <w:pPr>
        <w:spacing w:after="8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3. 实机数据从第一条起必须录制电流通道，避免任何形式的重采。</w:t>
      </w:r>
    </w:p>
    <w:p>
      <w:pPr>
        <w:spacing w:after="8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4. 每周五对表；里程碑延期不硬扛，当场砍范围（砍任务数量，不砍消融完整性与评测次数）。</w:t>
      </w:r>
    </w:p>
    <w:p>
      <w:pPr>
        <w:spacing w:after="8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5. 评测规范：每任务每配置至少20次评测报成功率，随机种子至少3个，报告演示数据量。</w:t>
      </w:r>
    </w:p>
    <w:p>
      <w:pPr>
        <w:pStyle w:val="Heading1"/>
        <w:spacing w:after="120" w:before="240"/>
      </w:pPr>
      <w:r>
        <w:rPr>
          <w:rFonts w:ascii="Calibri" w:eastAsia="Microsoft YaHei" w:hAnsi="Calibri"/>
          <w:b/>
          <w:bCs/>
        </w:rPr>
        <w:t xml:space="preserve">九、风险预案</w:t>
      </w:r>
    </w:p>
    <w:p>
      <w:pPr>
        <w:spacing w:after="8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8.14核心图不成立：切换为“低成本臂接触丰富任务的系统性benchmark”叙事，已有实验全部复用，仍按9.14提交。</w:t>
      </w:r>
    </w:p>
    <w:p>
      <w:pPr>
        <w:spacing w:after="8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进度落后超过一周：目标改为IROS（2027.3.1截稿），节奏放缓，质量换时间。</w:t>
      </w:r>
    </w:p>
    <w:p>
      <w:pPr>
        <w:spacing w:after="8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ICRA被拒：按审稿意见补强实验，2027.3.1转投IROS，一稿两用。</w:t>
      </w:r>
    </w:p>
    <w:p>
      <w:pPr>
        <w:pStyle w:val="Heading1"/>
        <w:spacing w:after="120" w:before="240"/>
      </w:pPr>
      <w:r>
        <w:rPr>
          <w:rFonts w:ascii="Calibri" w:eastAsia="Microsoft YaHei" w:hAnsi="Calibri"/>
          <w:b/>
          <w:bCs/>
        </w:rPr>
        <w:t xml:space="preserve">十、长线路线（滚雪球，不并行）</w:t>
      </w:r>
    </w:p>
    <w:p>
      <w:pPr>
        <w:spacing w:after="80"/>
      </w:pPr>
      <w:r>
        <w:rPr>
          <w:rFonts w:ascii="Calibri" w:eastAsia="Microsoft YaHei" w:hAnsi="Calibri"/>
          <w:b w:val="false"/>
          <w:bCs w:val="false"/>
          <w:sz w:val="21"/>
          <w:szCs w:val="21"/>
        </w:rPr>
        <w:t xml:space="preserve">① 本篇ICRA主线 → ② 电流失败检测+恢复闭环（IROS续集）→ ③ MuJoCo接触任务benchmark开源（workshop/RA-L）→ 后续：sim2real域差距、数据规模研究、低成本触觉扩展、跨机体迁移、系统期刊长文（TASE/RA-L）。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Microsoft YaHe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2026-07-31T15:56:14.969Z</dcterms:created>
  <dcterms:modified xsi:type="dcterms:W3CDTF">2026-07-31T15:56:14.970Z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