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C7B2" w14:textId="77777777" w:rsidR="00A7017B" w:rsidRDefault="00A7017B" w:rsidP="00A7017B">
      <w:r>
        <w:t>Renewable Energy Market Trends: A 2025 Overview</w:t>
      </w:r>
    </w:p>
    <w:p w14:paraId="4200C5AA" w14:textId="77777777" w:rsidR="00A7017B" w:rsidRDefault="00A7017B" w:rsidP="00A7017B">
      <w:r>
        <w:t>Executive Summary</w:t>
      </w:r>
    </w:p>
    <w:p w14:paraId="32ABE7F8" w14:textId="77777777" w:rsidR="00A7017B" w:rsidRDefault="00A7017B" w:rsidP="00A7017B">
      <w:r>
        <w:t>This report examines the current state of renewable energy markets globally, highlighting key trends, challenges, and opportunities. In the first quarter of 2025, renewable energy installations have continued their strong growth trajectory, with solar and wind power leading the expansion. Investment in green hydrogen and energy storage technologies has also accelerated, driven by supportive policy frameworks and decreasing costs. However, challenges related to grid integration, supply chain constraints, and regional policy differences remain significant hurdles to achieving climate targets.</w:t>
      </w:r>
    </w:p>
    <w:p w14:paraId="07EEED70" w14:textId="77777777" w:rsidR="00A7017B" w:rsidRDefault="00A7017B" w:rsidP="00A7017B">
      <w:r>
        <w:t>Key Market Developments</w:t>
      </w:r>
    </w:p>
    <w:p w14:paraId="74179B14" w14:textId="77777777" w:rsidR="00A7017B" w:rsidRDefault="00A7017B" w:rsidP="00A7017B">
      <w:r>
        <w:t>Solar Power</w:t>
      </w:r>
    </w:p>
    <w:p w14:paraId="48A553B6" w14:textId="77777777" w:rsidR="00A7017B" w:rsidRDefault="00A7017B" w:rsidP="00A7017B">
      <w:r>
        <w:t>Solar photovoltaic (PV) technology continues to dominate new electricity generation capacity additions worldwide. Module prices have decreased by approximately 15% year-over-year, reaching new record lows of under $0.15/watt for utility-scale projects. Bifacial modules and tracking systems are becoming standard in large-scale installations, improving energy yields by 10-20% compared to traditional fixed-tilt systems.</w:t>
      </w:r>
    </w:p>
    <w:p w14:paraId="09895A4B" w14:textId="77777777" w:rsidR="00A7017B" w:rsidRDefault="00A7017B" w:rsidP="00A7017B">
      <w:r>
        <w:t>Wind Energy</w:t>
      </w:r>
    </w:p>
    <w:p w14:paraId="7559954F" w14:textId="77777777" w:rsidR="00A7017B" w:rsidRDefault="00A7017B" w:rsidP="00A7017B">
      <w:r>
        <w:t>Offshore wind has seen remarkable growth, particularly in Europe and Asia. The average turbine size for new offshore installations now exceeds 15 MW, with several 20 MW prototypes under development. Floating offshore wind technology has moved beyond the pilot stage, opening up deeper waters for development and expanding the potential market significantly.</w:t>
      </w:r>
    </w:p>
    <w:p w14:paraId="08C1DC08" w14:textId="77777777" w:rsidR="00A7017B" w:rsidRDefault="00A7017B" w:rsidP="00A7017B">
      <w:r>
        <w:t>Energy Storage</w:t>
      </w:r>
    </w:p>
    <w:p w14:paraId="1022DAC7" w14:textId="77777777" w:rsidR="00A7017B" w:rsidRDefault="00A7017B" w:rsidP="00A7017B">
      <w:r>
        <w:t>Battery storage deployment has doubled compared to the same period last year, with lithium iron phosphate (LFP) chemistry gaining market share due to its lower cost and improved safety profile. Long-duration energy storage technologies, including flow batteries and mechanical storage solutions, are beginning to see commercial deployment at scale.</w:t>
      </w:r>
    </w:p>
    <w:p w14:paraId="242FBCCA" w14:textId="77777777" w:rsidR="00A7017B" w:rsidRDefault="00A7017B" w:rsidP="00A7017B">
      <w:r>
        <w:t>Green Hydrogen</w:t>
      </w:r>
    </w:p>
    <w:p w14:paraId="566A6993" w14:textId="77777777" w:rsidR="00A7017B" w:rsidRDefault="00A7017B" w:rsidP="00A7017B">
      <w:proofErr w:type="spellStart"/>
      <w:r>
        <w:t>Electrolyzer</w:t>
      </w:r>
      <w:proofErr w:type="spellEnd"/>
      <w:r>
        <w:t xml:space="preserve"> capacity for green hydrogen production has tripled in the past year, with multiple gigawatt-scale projects announced or under construction. The cost of green hydrogen production has fallen below $3/kg in regions with abundant renewable resources, approaching cost parity with gray hydrogen in some markets.</w:t>
      </w:r>
    </w:p>
    <w:p w14:paraId="4B60FE39" w14:textId="77777777" w:rsidR="00A7017B" w:rsidRDefault="00A7017B" w:rsidP="00A7017B">
      <w:r>
        <w:lastRenderedPageBreak/>
        <w:t>Regional Analysis</w:t>
      </w:r>
    </w:p>
    <w:p w14:paraId="6305B808" w14:textId="77777777" w:rsidR="00A7017B" w:rsidRDefault="00A7017B" w:rsidP="00A7017B">
      <w:r>
        <w:t>North America</w:t>
      </w:r>
    </w:p>
    <w:p w14:paraId="6D71F740" w14:textId="77777777" w:rsidR="00A7017B" w:rsidRDefault="00A7017B" w:rsidP="00A7017B">
      <w:r>
        <w:t>The United States continues to see strong growth in renewable capacity, driven by a combination of federal tax incentives, state-level renewable portfolio standards, and corporate procurement. The Inflation Reduction Act has catalyzed significant investment in domestic manufacturing capacity for solar panels, batteries, and critical minerals.</w:t>
      </w:r>
    </w:p>
    <w:p w14:paraId="4827451D" w14:textId="77777777" w:rsidR="00A7017B" w:rsidRDefault="00A7017B" w:rsidP="00A7017B">
      <w:r>
        <w:t>Europe</w:t>
      </w:r>
    </w:p>
    <w:p w14:paraId="259354E9" w14:textId="77777777" w:rsidR="00A7017B" w:rsidRDefault="00A7017B" w:rsidP="00A7017B">
      <w:r>
        <w:t xml:space="preserve">The European Union's </w:t>
      </w:r>
      <w:proofErr w:type="spellStart"/>
      <w:r>
        <w:t>REPowerEU</w:t>
      </w:r>
      <w:proofErr w:type="spellEnd"/>
      <w:r>
        <w:t xml:space="preserve"> plan has accelerated renewable energy deployment across the bloc, with particularly strong growth in Southern and Eastern European countries that had previously lagged in adoption. Cross-border power interconnections are being expanded to better manage variable renewable generation.</w:t>
      </w:r>
    </w:p>
    <w:p w14:paraId="202D2D49" w14:textId="77777777" w:rsidR="00A7017B" w:rsidRDefault="00A7017B" w:rsidP="00A7017B">
      <w:r>
        <w:t>Asia-Pacific</w:t>
      </w:r>
    </w:p>
    <w:p w14:paraId="002F1DAB" w14:textId="77777777" w:rsidR="00A7017B" w:rsidRDefault="00A7017B" w:rsidP="00A7017B">
      <w:r>
        <w:t>China remains the world's largest market for renewable energy, with over 150 GW of combined solar and wind capacity added in the past year. India's renewable energy sector is experiencing rapid growth, supported by ambitious government targets and falling technology costs. Japan and South Korea are focusing heavily on offshore wind and hydrogen to reduce dependency on imported fossil fuels.</w:t>
      </w:r>
    </w:p>
    <w:p w14:paraId="2A91DBED" w14:textId="77777777" w:rsidR="00A7017B" w:rsidRDefault="00A7017B" w:rsidP="00A7017B">
      <w:r>
        <w:t>Investment Trends</w:t>
      </w:r>
    </w:p>
    <w:p w14:paraId="38AECC6C" w14:textId="77777777" w:rsidR="00A7017B" w:rsidRDefault="00A7017B" w:rsidP="00A7017B">
      <w:r>
        <w:t>Total global investment in renewable energy reached $580 billion in 2024, a 25% increase from the previous year. Private equity and institutional investors have significantly increased their allocations to renewable energy assets, attracted by stable returns and ESG considerations. Green bonds and sustainability-linked loans have become mainstream financing instruments for renewable energy projects.</w:t>
      </w:r>
    </w:p>
    <w:p w14:paraId="24E50B60" w14:textId="77777777" w:rsidR="00A7017B" w:rsidRDefault="00A7017B" w:rsidP="00A7017B">
      <w:r>
        <w:t>Challenges and Barriers</w:t>
      </w:r>
    </w:p>
    <w:p w14:paraId="01F227F0" w14:textId="77777777" w:rsidR="00A7017B" w:rsidRDefault="00A7017B" w:rsidP="00A7017B">
      <w:r>
        <w:t>Despite positive momentum, several challenges remain:</w:t>
      </w:r>
    </w:p>
    <w:p w14:paraId="41F2CF4B" w14:textId="77777777" w:rsidR="00A7017B" w:rsidRDefault="00A7017B" w:rsidP="00A7017B">
      <w:r>
        <w:tab/>
        <w:t>1.</w:t>
      </w:r>
      <w:r>
        <w:tab/>
        <w:t>Grid Integration: The integration of high levels of variable renewable energy requires significant grid reinforcement and flexibility resources.</w:t>
      </w:r>
    </w:p>
    <w:p w14:paraId="1B07576D" w14:textId="77777777" w:rsidR="00A7017B" w:rsidRDefault="00A7017B" w:rsidP="00A7017B">
      <w:r>
        <w:tab/>
        <w:t>2.</w:t>
      </w:r>
      <w:r>
        <w:tab/>
        <w:t>Supply Chain Constraints: Critical mineral availability and manufacturing bottlenecks continue to affect equipment availability and pricing.</w:t>
      </w:r>
    </w:p>
    <w:p w14:paraId="03B1BFA7" w14:textId="77777777" w:rsidR="00A7017B" w:rsidRDefault="00A7017B" w:rsidP="00A7017B">
      <w:r>
        <w:tab/>
        <w:t>3.</w:t>
      </w:r>
      <w:r>
        <w:tab/>
        <w:t>Permitting Delays: Administrative barriers and lengthy approval processes remain a significant hurdle to faster deployment in many markets.</w:t>
      </w:r>
    </w:p>
    <w:p w14:paraId="55120EFB" w14:textId="77777777" w:rsidR="00A7017B" w:rsidRDefault="00A7017B" w:rsidP="00A7017B">
      <w:r>
        <w:lastRenderedPageBreak/>
        <w:tab/>
        <w:t>4.</w:t>
      </w:r>
      <w:r>
        <w:tab/>
        <w:t>Policy Uncertainty: Changing regulatory frameworks and inconsistent support mechanisms create investment uncertainty in some regions.</w:t>
      </w:r>
    </w:p>
    <w:p w14:paraId="30D59E8F" w14:textId="77777777" w:rsidR="00A7017B" w:rsidRDefault="00A7017B" w:rsidP="00A7017B">
      <w:r>
        <w:t>Future Outlook</w:t>
      </w:r>
    </w:p>
    <w:p w14:paraId="0E309298" w14:textId="77777777" w:rsidR="00A7017B" w:rsidRDefault="00A7017B" w:rsidP="00A7017B">
      <w:r>
        <w:t>The renewable energy sector is expected to maintain its strong growth trajectory, with annual capacity additions projected to increase by 15-20% annually through 2030. Technological innovation, particularly in grid-edge technologies, artificial intelligence for system optimization, and advanced materials, will continue to drive efficiency improvements and cost reductions.</w:t>
      </w:r>
    </w:p>
    <w:p w14:paraId="78747EFF" w14:textId="77777777" w:rsidR="00A7017B" w:rsidRDefault="00A7017B" w:rsidP="00A7017B">
      <w:r>
        <w:t>The convergence of electrification, digitalization, and decarbonization across sectors presents significant opportunities for integrated energy solutions that combine renewable generation, storage, and smart demand management.</w:t>
      </w:r>
    </w:p>
    <w:p w14:paraId="2838FC2B" w14:textId="77777777" w:rsidR="00A7017B" w:rsidRDefault="00A7017B" w:rsidP="00A7017B">
      <w:r>
        <w:t>Recommendations</w:t>
      </w:r>
    </w:p>
    <w:p w14:paraId="2D2EB6F1" w14:textId="77777777" w:rsidR="00A7017B" w:rsidRDefault="00A7017B" w:rsidP="00A7017B">
      <w:r>
        <w:t>Based on the analysis presented in this report, we recommend the following actions for stakeholders:</w:t>
      </w:r>
    </w:p>
    <w:p w14:paraId="742D13AA" w14:textId="77777777" w:rsidR="00A7017B" w:rsidRDefault="00A7017B" w:rsidP="00A7017B">
      <w:r>
        <w:tab/>
        <w:t>1.</w:t>
      </w:r>
      <w:r>
        <w:tab/>
        <w:t>Policymakers: Streamline permitting processes, enhance grid planning, and establish clear, long-term policy frameworks to provide investment certainty.</w:t>
      </w:r>
    </w:p>
    <w:p w14:paraId="005851FB" w14:textId="77777777" w:rsidR="00A7017B" w:rsidRDefault="00A7017B" w:rsidP="00A7017B">
      <w:r>
        <w:tab/>
        <w:t>2.</w:t>
      </w:r>
      <w:r>
        <w:tab/>
        <w:t>Utilities: Accelerate grid modernization efforts and develop new business models that embrace distributed energy resources and flexibility services.</w:t>
      </w:r>
    </w:p>
    <w:p w14:paraId="574DA8FA" w14:textId="77777777" w:rsidR="00A7017B" w:rsidRDefault="00A7017B" w:rsidP="00A7017B">
      <w:r>
        <w:tab/>
        <w:t>3.</w:t>
      </w:r>
      <w:r>
        <w:tab/>
        <w:t>Investors: Look beyond traditional renewable generation to emerging opportunities in energy storage, green hydrogen, and grid-edge technologies.</w:t>
      </w:r>
    </w:p>
    <w:p w14:paraId="595871C3" w14:textId="77777777" w:rsidR="00A7017B" w:rsidRDefault="00A7017B" w:rsidP="00A7017B">
      <w:r>
        <w:tab/>
        <w:t>4.</w:t>
      </w:r>
      <w:r>
        <w:tab/>
        <w:t>Corporate Energy Users: Consider long-term power purchase agreements (PPAs) to lock in favorable pricing and meet sustainability commitments.</w:t>
      </w:r>
    </w:p>
    <w:p w14:paraId="31112021" w14:textId="77777777" w:rsidR="00A7017B" w:rsidRDefault="00A7017B" w:rsidP="00A7017B">
      <w:r>
        <w:t>Conclusion</w:t>
      </w:r>
    </w:p>
    <w:p w14:paraId="790A671B" w14:textId="77777777" w:rsidR="00A7017B" w:rsidRDefault="00A7017B" w:rsidP="00A7017B">
      <w:r>
        <w:t>The renewable energy transition has reached a tipping point where economic drivers are now aligned with environmental imperatives. While challenges remain, the combination of technological innovation, supportive policies, and growing investment suggest that the pace of change will continue to accelerate in the coming years.</w:t>
      </w:r>
    </w:p>
    <w:p w14:paraId="6B5DE46B" w14:textId="1F225DD6" w:rsidR="009272D2" w:rsidRPr="00A7017B" w:rsidRDefault="00A7017B" w:rsidP="00A7017B">
      <w:r>
        <w:t> </w:t>
      </w:r>
    </w:p>
    <w:sectPr w:rsidR="009272D2" w:rsidRPr="00A7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25D0F"/>
    <w:multiLevelType w:val="multilevel"/>
    <w:tmpl w:val="AC76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F52E3"/>
    <w:multiLevelType w:val="multilevel"/>
    <w:tmpl w:val="0D84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185465">
    <w:abstractNumId w:val="1"/>
  </w:num>
  <w:num w:numId="2" w16cid:durableId="167005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2"/>
    <w:rsid w:val="009272D2"/>
    <w:rsid w:val="00A7017B"/>
    <w:rsid w:val="00BB203D"/>
    <w:rsid w:val="00DF0C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1900"/>
  <w15:chartTrackingRefBased/>
  <w15:docId w15:val="{419C01A9-D6B7-CF4C-8F74-89666621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2D2"/>
    <w:rPr>
      <w:rFonts w:eastAsiaTheme="majorEastAsia" w:cstheme="majorBidi"/>
      <w:color w:val="272727" w:themeColor="text1" w:themeTint="D8"/>
    </w:rPr>
  </w:style>
  <w:style w:type="paragraph" w:styleId="Title">
    <w:name w:val="Title"/>
    <w:basedOn w:val="Normal"/>
    <w:next w:val="Normal"/>
    <w:link w:val="TitleChar"/>
    <w:uiPriority w:val="10"/>
    <w:qFormat/>
    <w:rsid w:val="0092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2D2"/>
    <w:pPr>
      <w:spacing w:before="160"/>
      <w:jc w:val="center"/>
    </w:pPr>
    <w:rPr>
      <w:i/>
      <w:iCs/>
      <w:color w:val="404040" w:themeColor="text1" w:themeTint="BF"/>
    </w:rPr>
  </w:style>
  <w:style w:type="character" w:customStyle="1" w:styleId="QuoteChar">
    <w:name w:val="Quote Char"/>
    <w:basedOn w:val="DefaultParagraphFont"/>
    <w:link w:val="Quote"/>
    <w:uiPriority w:val="29"/>
    <w:rsid w:val="009272D2"/>
    <w:rPr>
      <w:i/>
      <w:iCs/>
      <w:color w:val="404040" w:themeColor="text1" w:themeTint="BF"/>
    </w:rPr>
  </w:style>
  <w:style w:type="paragraph" w:styleId="ListParagraph">
    <w:name w:val="List Paragraph"/>
    <w:basedOn w:val="Normal"/>
    <w:uiPriority w:val="34"/>
    <w:qFormat/>
    <w:rsid w:val="009272D2"/>
    <w:pPr>
      <w:ind w:left="720"/>
      <w:contextualSpacing/>
    </w:pPr>
  </w:style>
  <w:style w:type="character" w:styleId="IntenseEmphasis">
    <w:name w:val="Intense Emphasis"/>
    <w:basedOn w:val="DefaultParagraphFont"/>
    <w:uiPriority w:val="21"/>
    <w:qFormat/>
    <w:rsid w:val="009272D2"/>
    <w:rPr>
      <w:i/>
      <w:iCs/>
      <w:color w:val="0F4761" w:themeColor="accent1" w:themeShade="BF"/>
    </w:rPr>
  </w:style>
  <w:style w:type="paragraph" w:styleId="IntenseQuote">
    <w:name w:val="Intense Quote"/>
    <w:basedOn w:val="Normal"/>
    <w:next w:val="Normal"/>
    <w:link w:val="IntenseQuoteChar"/>
    <w:uiPriority w:val="30"/>
    <w:qFormat/>
    <w:rsid w:val="0092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2D2"/>
    <w:rPr>
      <w:i/>
      <w:iCs/>
      <w:color w:val="0F4761" w:themeColor="accent1" w:themeShade="BF"/>
    </w:rPr>
  </w:style>
  <w:style w:type="character" w:styleId="IntenseReference">
    <w:name w:val="Intense Reference"/>
    <w:basedOn w:val="DefaultParagraphFont"/>
    <w:uiPriority w:val="32"/>
    <w:qFormat/>
    <w:rsid w:val="009272D2"/>
    <w:rPr>
      <w:b/>
      <w:bCs/>
      <w:smallCaps/>
      <w:color w:val="0F4761" w:themeColor="accent1" w:themeShade="BF"/>
      <w:spacing w:val="5"/>
    </w:rPr>
  </w:style>
  <w:style w:type="paragraph" w:styleId="NormalWeb">
    <w:name w:val="Normal (Web)"/>
    <w:basedOn w:val="Normal"/>
    <w:uiPriority w:val="99"/>
    <w:semiHidden/>
    <w:unhideWhenUsed/>
    <w:rsid w:val="009272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72D2"/>
    <w:rPr>
      <w:b/>
      <w:bCs/>
    </w:rPr>
  </w:style>
  <w:style w:type="character" w:styleId="Emphasis">
    <w:name w:val="Emphasis"/>
    <w:basedOn w:val="DefaultParagraphFont"/>
    <w:uiPriority w:val="20"/>
    <w:qFormat/>
    <w:rsid w:val="00927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2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Vinoo Ganesh</dc:creator>
  <cp:keywords/>
  <dc:description/>
  <cp:lastModifiedBy>Vinoo Ganesh</cp:lastModifiedBy>
  <cp:revision>2</cp:revision>
  <cp:lastPrinted>2025-03-20T15:17:00Z</cp:lastPrinted>
  <dcterms:created xsi:type="dcterms:W3CDTF">2025-03-20T15:17:00Z</dcterms:created>
  <dcterms:modified xsi:type="dcterms:W3CDTF">2025-03-25T21:22:00Z</dcterms:modified>
</cp:coreProperties>
</file>