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21CA33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140CD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0126EF3CA534BC2BD99494FF319771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F3E470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07073F08A6494FAF3E12C0EE1FC39B"/>
            </w:placeholder>
            <w:text/>
          </w:sdtPr>
          <w:sdtEndPr/>
          <w:sdtContent>
            <w:tc>
              <w:tcPr>
                <w:tcW w:w="2073" w:type="dxa"/>
              </w:tcPr>
              <w:p w14:paraId="533717EE" w14:textId="77777777" w:rsidR="00B574C9" w:rsidRDefault="00CB6547" w:rsidP="00CB6547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EE53C7EB80B42E7A102A6954C82671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9DD72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7F3601A912D4EEBB123AAE6C525C8CD"/>
            </w:placeholder>
            <w:text/>
          </w:sdtPr>
          <w:sdtEndPr/>
          <w:sdtContent>
            <w:tc>
              <w:tcPr>
                <w:tcW w:w="2642" w:type="dxa"/>
              </w:tcPr>
              <w:p w14:paraId="59530CBD" w14:textId="77777777" w:rsidR="00B574C9" w:rsidRDefault="00CB6547" w:rsidP="00CB6547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264BBEA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FAF9A0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BB40D17DD89406695E70A3FBDB8533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EB3E45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48CF44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DD55A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EB64F0D9AEF45BEA5FCF1E036E3192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02C74E3" w14:textId="77777777" w:rsidR="00B574C9" w:rsidRDefault="000D3930" w:rsidP="000D3930">
                <w:r>
                  <w:t>The American University in Cairo</w:t>
                </w:r>
              </w:p>
            </w:tc>
          </w:sdtContent>
        </w:sdt>
      </w:tr>
    </w:tbl>
    <w:p w14:paraId="2E84B43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C46A1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0198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DE97FB7" w14:textId="77777777" w:rsidTr="003F0D73">
        <w:sdt>
          <w:sdtPr>
            <w:alias w:val="Article headword"/>
            <w:tag w:val="articleHeadword"/>
            <w:id w:val="-361440020"/>
            <w:placeholder>
              <w:docPart w:val="DDB29A743463485197CFE477844F464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A3405F" w14:textId="63305FE2" w:rsidR="003F0D73" w:rsidRPr="00FB589A" w:rsidRDefault="00CB6547" w:rsidP="003F0D73">
                <w:pPr>
                  <w:rPr>
                    <w:b/>
                  </w:rPr>
                </w:pPr>
                <w:proofErr w:type="spellStart"/>
                <w:r w:rsidRPr="00B52E5F">
                  <w:t>Bachi</w:t>
                </w:r>
                <w:proofErr w:type="spellEnd"/>
                <w:r w:rsidRPr="00B52E5F">
                  <w:t xml:space="preserve">, Marwan </w:t>
                </w:r>
                <w:proofErr w:type="spellStart"/>
                <w:r w:rsidRPr="00B52E5F">
                  <w:t>Kassab</w:t>
                </w:r>
                <w:proofErr w:type="spellEnd"/>
                <w:r w:rsidRPr="00B52E5F">
                  <w:t xml:space="preserve"> (1934</w:t>
                </w:r>
                <w:r w:rsidR="00B52E5F">
                  <w:t>--</w:t>
                </w:r>
                <w:r w:rsidRPr="00B52E5F">
                  <w:t>)</w:t>
                </w:r>
              </w:p>
            </w:tc>
          </w:sdtContent>
        </w:sdt>
      </w:tr>
      <w:tr w:rsidR="00464699" w14:paraId="0DC6FF0F" w14:textId="77777777" w:rsidTr="007821B0">
        <w:sdt>
          <w:sdtPr>
            <w:alias w:val="Variant headwords"/>
            <w:tag w:val="variantHeadwords"/>
            <w:id w:val="173464402"/>
            <w:placeholder>
              <w:docPart w:val="F69FCB0F00AB479A92183DCA5CF7609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D5450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3EEB811" w14:textId="77777777" w:rsidTr="003F0D73">
        <w:sdt>
          <w:sdtPr>
            <w:alias w:val="Abstract"/>
            <w:tag w:val="abstract"/>
            <w:id w:val="-635871867"/>
            <w:placeholder>
              <w:docPart w:val="2FCD2AA8C224479586ACAAD3008C1C0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33952D" w14:textId="104B4B11" w:rsidR="00E85A05" w:rsidRDefault="00CB6547" w:rsidP="005516B9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</w:t>
                </w:r>
                <w:proofErr w:type="spellStart"/>
                <w:r w:rsidRPr="00DF1F30">
                  <w:t>Kassab</w:t>
                </w:r>
                <w:proofErr w:type="spellEnd"/>
                <w:r w:rsidRPr="00DF1F30">
                  <w:t xml:space="preserve"> </w:t>
                </w:r>
                <w:proofErr w:type="spellStart"/>
                <w:r w:rsidRPr="00DF1F30">
                  <w:t>Bachi</w:t>
                </w:r>
                <w:proofErr w:type="spellEnd"/>
                <w:r w:rsidRPr="00DF1F30">
                  <w:t xml:space="preserve">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proofErr w:type="spellStart"/>
                <w:r>
                  <w:rPr>
                    <w:rFonts w:cs="Arial"/>
                  </w:rPr>
                  <w:t>Hochschule</w:t>
                </w:r>
                <w:proofErr w:type="spellEnd"/>
                <w:r>
                  <w:rPr>
                    <w:rFonts w:cs="Arial"/>
                  </w:rPr>
                  <w:t xml:space="preserve"> der </w:t>
                </w:r>
                <w:proofErr w:type="spellStart"/>
                <w:r>
                  <w:rPr>
                    <w:rFonts w:cs="Arial"/>
                  </w:rPr>
                  <w:t>Künste</w:t>
                </w:r>
                <w:proofErr w:type="spellEnd"/>
                <w:r>
                  <w:rPr>
                    <w:rFonts w:cs="Arial"/>
                  </w:rPr>
                  <w:t xml:space="preserve">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F1F30">
                  <w:rPr>
                    <w:color w:val="000000"/>
                    <w:shd w:val="clear" w:color="auto" w:fill="FFFFFF"/>
                  </w:rPr>
                  <w:t>Sufi</w:t>
                </w:r>
                <w:r>
                  <w:rPr>
                    <w:color w:val="000000"/>
                    <w:shd w:val="clear" w:color="auto" w:fill="FFFFFF"/>
                  </w:rPr>
                  <w:t>st</w:t>
                </w:r>
                <w:proofErr w:type="spellEnd"/>
                <w:r>
                  <w:rPr>
                    <w:color w:val="000000"/>
                    <w:shd w:val="clear" w:color="auto" w:fill="FFFFFF"/>
                  </w:rPr>
                  <w:t xml:space="preserve">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</w:t>
                </w:r>
                <w:r w:rsidR="00B52E5F">
                  <w:t>,</w:t>
                </w:r>
                <w:r>
                  <w:t xml:space="preserve"> such as the</w:t>
                </w:r>
                <w:r w:rsidR="005516B9">
                  <w:t xml:space="preserve"> poet Adonis and</w:t>
                </w:r>
                <w:r w:rsidRPr="00DF1F30">
                  <w:t xml:space="preserve"> the</w:t>
                </w:r>
                <w:r w:rsidR="00966DC2">
                  <w:t xml:space="preserve"> novelist Abdul </w:t>
                </w:r>
                <w:proofErr w:type="spellStart"/>
                <w:r w:rsidR="00966DC2">
                  <w:t>Rahman</w:t>
                </w:r>
                <w:proofErr w:type="spellEnd"/>
                <w:r>
                  <w:t xml:space="preserve"> </w:t>
                </w:r>
                <w:proofErr w:type="spellStart"/>
                <w:r>
                  <w:t>Munif</w:t>
                </w:r>
                <w:proofErr w:type="spellEnd"/>
                <w:r>
                  <w:t>, among</w:t>
                </w:r>
                <w:r w:rsidRPr="00DF1F30">
                  <w:t xml:space="preserve"> others.</w:t>
                </w:r>
              </w:p>
            </w:tc>
          </w:sdtContent>
        </w:sdt>
      </w:tr>
      <w:tr w:rsidR="003F0D73" w14:paraId="5D4F306D" w14:textId="77777777" w:rsidTr="003F0D73">
        <w:sdt>
          <w:sdtPr>
            <w:alias w:val="Article text"/>
            <w:tag w:val="articleText"/>
            <w:id w:val="634067588"/>
            <w:placeholder>
              <w:docPart w:val="A6C293436EF241A1836005E3538286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8181A0D" w14:textId="77777777" w:rsidR="005516B9" w:rsidRDefault="005516B9" w:rsidP="005516B9">
                <w:pPr>
                  <w:keepNext/>
                </w:pPr>
                <w:r>
                  <w:t>File: Bachi.jpeg</w:t>
                </w:r>
              </w:p>
              <w:p w14:paraId="6FAC2F33" w14:textId="77777777" w:rsidR="005516B9" w:rsidRDefault="00B52E5F" w:rsidP="005516B9">
                <w:pPr>
                  <w:pStyle w:val="Caption"/>
                </w:pPr>
                <w:fldSimple w:instr=" SEQ Figure \* ARABIC ">
                  <w:r w:rsidR="005516B9">
                    <w:rPr>
                      <w:noProof/>
                    </w:rPr>
                    <w:t>1</w:t>
                  </w:r>
                </w:fldSimple>
                <w:r w:rsidR="005516B9">
                  <w:t xml:space="preserve"> </w:t>
                </w:r>
                <w:r w:rsidR="005516B9" w:rsidRPr="00596BA0">
                  <w:t xml:space="preserve">Marwan </w:t>
                </w:r>
                <w:proofErr w:type="spellStart"/>
                <w:r w:rsidR="005516B9" w:rsidRPr="00596BA0">
                  <w:t>Kassab</w:t>
                </w:r>
                <w:proofErr w:type="spellEnd"/>
                <w:r w:rsidR="005516B9" w:rsidRPr="00596BA0">
                  <w:t xml:space="preserve"> </w:t>
                </w:r>
                <w:proofErr w:type="spellStart"/>
                <w:r w:rsidR="005516B9" w:rsidRPr="00596BA0">
                  <w:t>Bachi</w:t>
                </w:r>
                <w:proofErr w:type="spellEnd"/>
                <w:r w:rsidR="005516B9" w:rsidRPr="00596BA0">
                  <w:t xml:space="preserve">, Faces/Ibn </w:t>
                </w:r>
                <w:proofErr w:type="spellStart"/>
                <w:r w:rsidR="005516B9" w:rsidRPr="00596BA0">
                  <w:t>Arabi</w:t>
                </w:r>
                <w:proofErr w:type="spellEnd"/>
                <w:r w:rsidR="005516B9" w:rsidRPr="00596BA0">
                  <w:t xml:space="preserve"> (from a series of 99 etchings), 1997/1998, etching, 22x16 cm Source and copyright: The Khalid </w:t>
                </w:r>
                <w:proofErr w:type="spellStart"/>
                <w:r w:rsidR="005516B9" w:rsidRPr="00596BA0">
                  <w:t>Shoman</w:t>
                </w:r>
                <w:proofErr w:type="spellEnd"/>
                <w:r w:rsidR="005516B9" w:rsidRPr="00596BA0">
                  <w:t xml:space="preserve"> Private Collection, Amman, Jordan</w:t>
                </w:r>
              </w:p>
              <w:p w14:paraId="3B9BA67F" w14:textId="6133786F" w:rsidR="003F0D73" w:rsidRDefault="00CB6547" w:rsidP="00CB6547">
                <w:r w:rsidRPr="00F9198A">
                  <w:t xml:space="preserve">Born </w:t>
                </w:r>
                <w:r>
                  <w:t xml:space="preserve">in </w:t>
                </w:r>
                <w:r w:rsidRPr="00F9198A">
                  <w:t>Damascus</w:t>
                </w:r>
                <w:r>
                  <w:t>, t</w:t>
                </w:r>
                <w:r w:rsidRPr="00DF1F30">
                  <w:t xml:space="preserve">he Syrian painter Marwan </w:t>
                </w:r>
                <w:proofErr w:type="spellStart"/>
                <w:r w:rsidRPr="00DF1F30">
                  <w:t>Kassab</w:t>
                </w:r>
                <w:proofErr w:type="spellEnd"/>
                <w:r w:rsidRPr="00DF1F30">
                  <w:t xml:space="preserve"> </w:t>
                </w:r>
                <w:proofErr w:type="spellStart"/>
                <w:r w:rsidRPr="00DF1F30">
                  <w:t>Bachi</w:t>
                </w:r>
                <w:proofErr w:type="spellEnd"/>
                <w:r w:rsidRPr="00DF1F30">
                  <w:t xml:space="preserve">, who often goes by </w:t>
                </w:r>
                <w:r>
                  <w:t xml:space="preserve">only </w:t>
                </w:r>
                <w:r w:rsidRPr="00DF1F30">
                  <w:t xml:space="preserve">the name Marwan, began his career in Damascus </w:t>
                </w:r>
                <w:r>
                  <w:t>before immigrating to</w:t>
                </w:r>
                <w:r w:rsidRPr="00DF1F30">
                  <w:t xml:space="preserve"> Germany</w:t>
                </w:r>
                <w:r>
                  <w:t xml:space="preserve">, where he became a professor at </w:t>
                </w:r>
                <w:r w:rsidRPr="00DF1F30">
                  <w:t xml:space="preserve">the </w:t>
                </w:r>
                <w:proofErr w:type="spellStart"/>
                <w:r>
                  <w:rPr>
                    <w:rFonts w:cs="Arial"/>
                  </w:rPr>
                  <w:t>Hochschule</w:t>
                </w:r>
                <w:proofErr w:type="spellEnd"/>
                <w:r>
                  <w:rPr>
                    <w:rFonts w:cs="Arial"/>
                  </w:rPr>
                  <w:t xml:space="preserve"> der </w:t>
                </w:r>
                <w:proofErr w:type="spellStart"/>
                <w:r>
                  <w:rPr>
                    <w:rFonts w:cs="Arial"/>
                  </w:rPr>
                  <w:t>Künste</w:t>
                </w:r>
                <w:proofErr w:type="spellEnd"/>
                <w:r>
                  <w:rPr>
                    <w:rFonts w:cs="Arial"/>
                  </w:rPr>
                  <w:t xml:space="preserve"> in Berlin in 1980</w:t>
                </w:r>
                <w:r w:rsidRPr="00DF1F30">
                  <w:t xml:space="preserve">. </w:t>
                </w:r>
                <w:r>
                  <w:t>Marwan’s</w:t>
                </w:r>
                <w:r w:rsidRPr="00DF1F30">
                  <w:t xml:space="preserve"> earliest works</w:t>
                </w:r>
                <w:r>
                  <w:t xml:space="preserve"> in the mid-1950s</w:t>
                </w:r>
                <w:r w:rsidRPr="00DF1F30">
                  <w:t xml:space="preserve"> followed a</w:t>
                </w:r>
                <w:r>
                  <w:t xml:space="preserve"> modern S</w:t>
                </w:r>
                <w:r w:rsidRPr="00DF1F30">
                  <w:t xml:space="preserve">ymbolist style inflected by folk motifs. </w:t>
                </w:r>
                <w:r>
                  <w:t>After leaving</w:t>
                </w:r>
                <w:r w:rsidRPr="00DF1F30">
                  <w:t xml:space="preserve"> Syria in 1957 to study painting in Berlin</w:t>
                </w:r>
                <w:r>
                  <w:t>,</w:t>
                </w:r>
                <w:r w:rsidRPr="00DF1F30">
                  <w:t xml:space="preserve"> he joined the studio of Hann Trier and became aligned with Germany’s post</w:t>
                </w:r>
                <w:r>
                  <w:t>-</w:t>
                </w:r>
                <w:r w:rsidRPr="00DF1F30">
                  <w:t xml:space="preserve">war New Figuration movement. </w:t>
                </w:r>
                <w:r>
                  <w:t xml:space="preserve">The </w:t>
                </w:r>
                <w:r w:rsidRPr="00DF1F30">
                  <w:t>subjects of his</w:t>
                </w:r>
                <w:r>
                  <w:t xml:space="preserve"> painting series in the 1960s </w:t>
                </w:r>
                <w:r w:rsidRPr="00DF1F30">
                  <w:t>included politic</w:t>
                </w:r>
                <w:r>
                  <w:t>ians</w:t>
                </w:r>
                <w:r w:rsidRPr="00DF1F30">
                  <w:t xml:space="preserve"> </w:t>
                </w:r>
                <w:r>
                  <w:t>in</w:t>
                </w:r>
                <w:r w:rsidRPr="00DF1F30">
                  <w:t xml:space="preserve"> clamps and braces, piles of fleshy meat, and </w:t>
                </w:r>
                <w:r>
                  <w:t>melancholy figures with</w:t>
                </w:r>
                <w:r w:rsidRPr="00DF1F30">
                  <w:t xml:space="preserve"> </w:t>
                </w:r>
                <w:r>
                  <w:t>elongated bodies and distorted heads</w:t>
                </w:r>
                <w:r w:rsidRPr="00DF1F30">
                  <w:t xml:space="preserve">. </w:t>
                </w:r>
                <w:r>
                  <w:rPr>
                    <w:color w:val="222222"/>
                  </w:rPr>
                  <w:t>Marwan’s</w:t>
                </w:r>
                <w:r w:rsidRPr="00DF1F30">
                  <w:rPr>
                    <w:color w:val="222222"/>
                  </w:rPr>
                  <w:t xml:space="preserve"> later work em</w:t>
                </w:r>
                <w:r>
                  <w:rPr>
                    <w:color w:val="222222"/>
                  </w:rPr>
                  <w:t>phasizes</w:t>
                </w:r>
                <w:r w:rsidRPr="00DF1F30">
                  <w:rPr>
                    <w:color w:val="222222"/>
                  </w:rPr>
                  <w:t xml:space="preserve"> colo</w:t>
                </w:r>
                <w:r>
                  <w:rPr>
                    <w:color w:val="222222"/>
                  </w:rPr>
                  <w:t>u</w:t>
                </w:r>
                <w:r w:rsidRPr="00DF1F30">
                  <w:rPr>
                    <w:color w:val="222222"/>
                  </w:rPr>
                  <w:t>r and texture over legibility</w:t>
                </w:r>
                <w:r>
                  <w:rPr>
                    <w:color w:val="222222"/>
                  </w:rPr>
                  <w:t xml:space="preserve"> and</w:t>
                </w:r>
                <w:r w:rsidRPr="00DF1F30">
                  <w:rPr>
                    <w:color w:val="222222"/>
                  </w:rPr>
                  <w:t xml:space="preserve"> </w:t>
                </w:r>
                <w:r>
                  <w:rPr>
                    <w:color w:val="222222"/>
                  </w:rPr>
                  <w:t>in recent years, his</w:t>
                </w:r>
                <w:r w:rsidRPr="00DF1F30">
                  <w:rPr>
                    <w:color w:val="222222"/>
                  </w:rPr>
                  <w:t xml:space="preserve"> paintings of monumental heads</w:t>
                </w:r>
                <w:r>
                  <w:rPr>
                    <w:color w:val="222222"/>
                  </w:rPr>
                  <w:t xml:space="preserve"> take </w:t>
                </w:r>
                <w:r w:rsidRPr="00DF1F30">
                  <w:rPr>
                    <w:color w:val="222222"/>
                  </w:rPr>
                  <w:t>form through layered fields of brush</w:t>
                </w:r>
                <w:r>
                  <w:rPr>
                    <w:color w:val="222222"/>
                  </w:rPr>
                  <w:t xml:space="preserve"> </w:t>
                </w:r>
                <w:r w:rsidRPr="00DF1F30">
                  <w:rPr>
                    <w:color w:val="222222"/>
                  </w:rPr>
                  <w:t>marks</w:t>
                </w:r>
                <w:r>
                  <w:rPr>
                    <w:color w:val="222222"/>
                  </w:rPr>
                  <w:t xml:space="preserve"> that verge on abstraction</w:t>
                </w:r>
                <w:r w:rsidRPr="00DF1F30">
                  <w:rPr>
                    <w:color w:val="222222"/>
                  </w:rPr>
                  <w:t>.</w:t>
                </w:r>
                <w:r>
                  <w:rPr>
                    <w:color w:val="000000"/>
                    <w:shd w:val="clear" w:color="auto" w:fill="FFFFFF"/>
                  </w:rPr>
                  <w:t xml:space="preserve"> Because of t</w:t>
                </w:r>
                <w:r w:rsidRPr="00DF1F30">
                  <w:rPr>
                    <w:color w:val="000000"/>
                    <w:shd w:val="clear" w:color="auto" w:fill="FFFFFF"/>
                  </w:rPr>
                  <w:t>he repetitio</w:t>
                </w:r>
                <w:r>
                  <w:rPr>
                    <w:color w:val="000000"/>
                    <w:shd w:val="clear" w:color="auto" w:fill="FFFFFF"/>
                  </w:rPr>
                  <w:t>us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and </w:t>
                </w:r>
                <w:r>
                  <w:rPr>
                    <w:color w:val="000000"/>
                    <w:shd w:val="clear" w:color="auto" w:fill="FFFFFF"/>
                  </w:rPr>
                  <w:t>self-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effacing </w:t>
                </w:r>
                <w:r>
                  <w:rPr>
                    <w:color w:val="000000"/>
                    <w:shd w:val="clear" w:color="auto" w:fill="FFFFFF"/>
                  </w:rPr>
                  <w:t>aspect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of </w:t>
                </w:r>
                <w:r>
                  <w:rPr>
                    <w:color w:val="000000"/>
                    <w:shd w:val="clear" w:color="auto" w:fill="FFFFFF"/>
                  </w:rPr>
                  <w:t>t</w:t>
                </w:r>
                <w:r w:rsidRPr="00DF1F30">
                  <w:rPr>
                    <w:color w:val="000000"/>
                    <w:shd w:val="clear" w:color="auto" w:fill="FFFFFF"/>
                  </w:rPr>
                  <w:t>h</w:t>
                </w:r>
                <w:r>
                  <w:rPr>
                    <w:color w:val="000000"/>
                    <w:shd w:val="clear" w:color="auto" w:fill="FFFFFF"/>
                  </w:rPr>
                  <w:t>ese compositions, they can also be interpreted as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</w:rPr>
                  <w:t>explorations of</w:t>
                </w:r>
                <w:r w:rsidRPr="00DF1F30">
                  <w:rPr>
                    <w:color w:val="000000"/>
                    <w:shd w:val="clear" w:color="auto" w:fill="FFFFFF"/>
                  </w:rPr>
                  <w:t xml:space="preserve"> </w:t>
                </w:r>
                <w:proofErr w:type="spellStart"/>
                <w:r w:rsidRPr="00DF1F30">
                  <w:rPr>
                    <w:color w:val="000000"/>
                    <w:shd w:val="clear" w:color="auto" w:fill="FFFFFF"/>
                  </w:rPr>
                  <w:t>Sufi</w:t>
                </w:r>
                <w:r>
                  <w:rPr>
                    <w:color w:val="000000"/>
                    <w:shd w:val="clear" w:color="auto" w:fill="FFFFFF"/>
                  </w:rPr>
                  <w:t>st</w:t>
                </w:r>
                <w:proofErr w:type="spellEnd"/>
                <w:r>
                  <w:rPr>
                    <w:color w:val="000000"/>
                    <w:shd w:val="clear" w:color="auto" w:fill="FFFFFF"/>
                  </w:rPr>
                  <w:t xml:space="preserve"> principles</w:t>
                </w:r>
                <w:r w:rsidRPr="00DF1F30">
                  <w:rPr>
                    <w:rFonts w:cs="Arial"/>
                  </w:rPr>
                  <w:t>.</w:t>
                </w:r>
                <w:r w:rsidRPr="00DF1F30">
                  <w:t xml:space="preserve"> Marwan </w:t>
                </w:r>
                <w:r>
                  <w:t>maintained close ties to</w:t>
                </w:r>
                <w:bookmarkStart w:id="0" w:name="_GoBack"/>
                <w:bookmarkEnd w:id="0"/>
                <w:r w:rsidRPr="00DF1F30">
                  <w:t xml:space="preserve"> Arab </w:t>
                </w:r>
                <w:r>
                  <w:t>M</w:t>
                </w:r>
                <w:r w:rsidRPr="00DF1F30">
                  <w:t>odernist movement</w:t>
                </w:r>
                <w:r>
                  <w:t>s</w:t>
                </w:r>
                <w:r w:rsidRPr="00DF1F30">
                  <w:t xml:space="preserve"> </w:t>
                </w:r>
                <w:r>
                  <w:t xml:space="preserve">in art and literature for the whole of his career, and </w:t>
                </w:r>
                <w:r w:rsidRPr="00DF1F30">
                  <w:t>contribu</w:t>
                </w:r>
                <w:r>
                  <w:t>ted</w:t>
                </w:r>
                <w:r w:rsidRPr="00DF1F30">
                  <w:t xml:space="preserve"> drawings and sketches to</w:t>
                </w:r>
                <w:r>
                  <w:t xml:space="preserve"> the</w:t>
                </w:r>
                <w:r w:rsidRPr="00DF1F30">
                  <w:t xml:space="preserve"> </w:t>
                </w:r>
                <w:r>
                  <w:t>publications of friends such as the</w:t>
                </w:r>
                <w:r w:rsidR="005516B9">
                  <w:t xml:space="preserve"> poet Adonis and </w:t>
                </w:r>
                <w:r w:rsidRPr="00DF1F30">
                  <w:t>the</w:t>
                </w:r>
                <w:r w:rsidR="00966DC2">
                  <w:t xml:space="preserve"> novelist Abdul </w:t>
                </w:r>
                <w:proofErr w:type="spellStart"/>
                <w:r w:rsidR="00966DC2">
                  <w:t>Rahman</w:t>
                </w:r>
                <w:proofErr w:type="spellEnd"/>
                <w:r>
                  <w:t xml:space="preserve"> </w:t>
                </w:r>
                <w:proofErr w:type="spellStart"/>
                <w:r>
                  <w:t>Munif</w:t>
                </w:r>
                <w:proofErr w:type="spellEnd"/>
                <w:r>
                  <w:t>, among</w:t>
                </w:r>
                <w:r w:rsidRPr="00DF1F30">
                  <w:t xml:space="preserve"> others.</w:t>
                </w:r>
              </w:p>
            </w:tc>
          </w:sdtContent>
        </w:sdt>
      </w:tr>
      <w:tr w:rsidR="003235A7" w14:paraId="6A4C5C69" w14:textId="77777777" w:rsidTr="003235A7">
        <w:tc>
          <w:tcPr>
            <w:tcW w:w="9016" w:type="dxa"/>
          </w:tcPr>
          <w:p w14:paraId="42019AB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C82DD8D05B4F74A13027E439C4A903"/>
              </w:placeholder>
            </w:sdtPr>
            <w:sdtEndPr/>
            <w:sdtContent>
              <w:p w14:paraId="52994582" w14:textId="77777777" w:rsidR="005516B9" w:rsidRDefault="005516B9" w:rsidP="00CB6547"/>
              <w:p w14:paraId="5D0C5CB3" w14:textId="77777777" w:rsidR="00E5745B" w:rsidRDefault="00966DC2" w:rsidP="00CB6547">
                <w:sdt>
                  <w:sdtPr>
                    <w:id w:val="894082131"/>
                    <w:citation/>
                  </w:sdtPr>
                  <w:sdtEndPr/>
                  <w:sdtContent>
                    <w:r w:rsidR="00E5745B">
                      <w:fldChar w:fldCharType="begin"/>
                    </w:r>
                    <w:r w:rsidR="00E5745B">
                      <w:rPr>
                        <w:lang w:val="en-US"/>
                      </w:rPr>
                      <w:instrText xml:space="preserve">CITATION Con98 \l 1033 </w:instrText>
                    </w:r>
                    <w:r w:rsidR="00E5745B">
                      <w:fldChar w:fldCharType="separate"/>
                    </w:r>
                    <w:r w:rsidR="00E5745B">
                      <w:rPr>
                        <w:noProof/>
                        <w:lang w:val="en-US"/>
                      </w:rPr>
                      <w:t>(Atassi and Sayegh)</w:t>
                    </w:r>
                    <w:r w:rsidR="00E5745B">
                      <w:fldChar w:fldCharType="end"/>
                    </w:r>
                  </w:sdtContent>
                </w:sdt>
              </w:p>
              <w:p w14:paraId="3E4D1C04" w14:textId="77777777" w:rsidR="00E5745B" w:rsidRDefault="00E5745B" w:rsidP="00CB6547"/>
              <w:p w14:paraId="2F3888E4" w14:textId="77777777" w:rsidR="00E5745B" w:rsidRDefault="00966DC2" w:rsidP="00CB6547">
                <w:sdt>
                  <w:sdtPr>
                    <w:id w:val="1248915589"/>
                    <w:citation/>
                  </w:sdtPr>
                  <w:sdtEndPr/>
                  <w:sdtContent>
                    <w:r w:rsidR="00E5745B">
                      <w:fldChar w:fldCharType="begin"/>
                    </w:r>
                    <w:r w:rsidR="00E5745B">
                      <w:rPr>
                        <w:lang w:val="en-US"/>
                      </w:rPr>
                      <w:instrText xml:space="preserve"> CITATION Ins93 \l 1033 </w:instrText>
                    </w:r>
                    <w:r w:rsidR="00E5745B">
                      <w:fldChar w:fldCharType="separate"/>
                    </w:r>
                    <w:r w:rsidR="00E5745B">
                      <w:rPr>
                        <w:noProof/>
                        <w:lang w:val="en-US"/>
                      </w:rPr>
                      <w:t>(Institut du Monde Arabe Marwan: Peintures, Gravures)</w:t>
                    </w:r>
                    <w:r w:rsidR="00E5745B">
                      <w:fldChar w:fldCharType="end"/>
                    </w:r>
                  </w:sdtContent>
                </w:sdt>
              </w:p>
              <w:p w14:paraId="26E85897" w14:textId="77777777" w:rsidR="00E5745B" w:rsidRDefault="00E5745B" w:rsidP="00CB6547"/>
              <w:p w14:paraId="4EA9FC99" w14:textId="4D1DEACE" w:rsidR="003235A7" w:rsidRDefault="00966DC2" w:rsidP="00CB6547">
                <w:sdt>
                  <w:sdtPr>
                    <w:id w:val="1470473943"/>
                    <w:citation/>
                  </w:sdtPr>
                  <w:sdtEndPr/>
                  <w:sdtContent>
                    <w:r w:rsidR="00E5745B">
                      <w:fldChar w:fldCharType="begin"/>
                    </w:r>
                    <w:r w:rsidR="00E5745B">
                      <w:rPr>
                        <w:lang w:val="en-US"/>
                      </w:rPr>
                      <w:instrText xml:space="preserve"> CITATION Mun96 \l 1033 </w:instrText>
                    </w:r>
                    <w:r w:rsidR="00E5745B">
                      <w:fldChar w:fldCharType="separate"/>
                    </w:r>
                    <w:r w:rsidR="00E5745B">
                      <w:rPr>
                        <w:noProof/>
                        <w:lang w:val="en-US"/>
                      </w:rPr>
                      <w:t>(Munīf)</w:t>
                    </w:r>
                    <w:r w:rsidR="00E5745B">
                      <w:fldChar w:fldCharType="end"/>
                    </w:r>
                  </w:sdtContent>
                </w:sdt>
              </w:p>
            </w:sdtContent>
          </w:sdt>
        </w:tc>
      </w:tr>
    </w:tbl>
    <w:p w14:paraId="0E82186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5007B" w14:textId="77777777" w:rsidR="00862E41" w:rsidRDefault="00862E41" w:rsidP="007A0D55">
      <w:pPr>
        <w:spacing w:after="0" w:line="240" w:lineRule="auto"/>
      </w:pPr>
      <w:r>
        <w:separator/>
      </w:r>
    </w:p>
  </w:endnote>
  <w:endnote w:type="continuationSeparator" w:id="0">
    <w:p w14:paraId="0B12E6DF" w14:textId="77777777" w:rsidR="00862E41" w:rsidRDefault="00862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E6B8D" w14:textId="77777777" w:rsidR="00862E41" w:rsidRDefault="00862E41" w:rsidP="007A0D55">
      <w:pPr>
        <w:spacing w:after="0" w:line="240" w:lineRule="auto"/>
      </w:pPr>
      <w:r>
        <w:separator/>
      </w:r>
    </w:p>
  </w:footnote>
  <w:footnote w:type="continuationSeparator" w:id="0">
    <w:p w14:paraId="7D19D225" w14:textId="77777777" w:rsidR="00862E41" w:rsidRDefault="00862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46D9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3DC9E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6B"/>
    <w:rsid w:val="00032559"/>
    <w:rsid w:val="00052040"/>
    <w:rsid w:val="000B25AE"/>
    <w:rsid w:val="000B55AB"/>
    <w:rsid w:val="000D24DC"/>
    <w:rsid w:val="000D3930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6B9"/>
    <w:rsid w:val="00590035"/>
    <w:rsid w:val="005B177E"/>
    <w:rsid w:val="005B3921"/>
    <w:rsid w:val="005F26D7"/>
    <w:rsid w:val="005F5450"/>
    <w:rsid w:val="006D0412"/>
    <w:rsid w:val="007411B9"/>
    <w:rsid w:val="00775E0D"/>
    <w:rsid w:val="00780D95"/>
    <w:rsid w:val="00780DC7"/>
    <w:rsid w:val="007A0D55"/>
    <w:rsid w:val="007B3377"/>
    <w:rsid w:val="007E5F44"/>
    <w:rsid w:val="00821DE3"/>
    <w:rsid w:val="00846CE1"/>
    <w:rsid w:val="00862E41"/>
    <w:rsid w:val="008A5B87"/>
    <w:rsid w:val="00922950"/>
    <w:rsid w:val="00966DC2"/>
    <w:rsid w:val="009A7264"/>
    <w:rsid w:val="009D1606"/>
    <w:rsid w:val="009E18A1"/>
    <w:rsid w:val="009E73D7"/>
    <w:rsid w:val="00A2666B"/>
    <w:rsid w:val="00A27D2C"/>
    <w:rsid w:val="00A76FD9"/>
    <w:rsid w:val="00AB436D"/>
    <w:rsid w:val="00AD2F24"/>
    <w:rsid w:val="00AD4844"/>
    <w:rsid w:val="00B219AE"/>
    <w:rsid w:val="00B33145"/>
    <w:rsid w:val="00B52E5F"/>
    <w:rsid w:val="00B574C9"/>
    <w:rsid w:val="00BC39C9"/>
    <w:rsid w:val="00BE5BF7"/>
    <w:rsid w:val="00BF40E1"/>
    <w:rsid w:val="00C27FAB"/>
    <w:rsid w:val="00C358D4"/>
    <w:rsid w:val="00C6296B"/>
    <w:rsid w:val="00CB6547"/>
    <w:rsid w:val="00CC586D"/>
    <w:rsid w:val="00CF1542"/>
    <w:rsid w:val="00CF3EC5"/>
    <w:rsid w:val="00D656DA"/>
    <w:rsid w:val="00D83300"/>
    <w:rsid w:val="00DC6B48"/>
    <w:rsid w:val="00DF01B0"/>
    <w:rsid w:val="00E5745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C0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B65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547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CB6547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CB654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ocuments\GitHub\REM\++Templated%20Entries\++Pinkoski%20Template%20Drafts\SP%20Completed\Bachi\BachiS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126EF3CA534BC2BD99494FF3197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6D471-8666-4CDE-A945-1EC801E88527}"/>
      </w:docPartPr>
      <w:docPartBody>
        <w:p w:rsidR="005E24E5" w:rsidRDefault="004E56FF">
          <w:pPr>
            <w:pStyle w:val="F0126EF3CA534BC2BD99494FF319771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07073F08A6494FAF3E12C0EE1FC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4C3CE-85E8-4A06-8C35-34F54011DDAD}"/>
      </w:docPartPr>
      <w:docPartBody>
        <w:p w:rsidR="005E24E5" w:rsidRDefault="004E56FF">
          <w:pPr>
            <w:pStyle w:val="C607073F08A6494FAF3E12C0EE1FC39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EE53C7EB80B42E7A102A6954C826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A8E3-5B99-4130-9D2C-D5622DED6207}"/>
      </w:docPartPr>
      <w:docPartBody>
        <w:p w:rsidR="005E24E5" w:rsidRDefault="004E56FF">
          <w:pPr>
            <w:pStyle w:val="2EE53C7EB80B42E7A102A6954C8267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7F3601A912D4EEBB123AAE6C525C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C61D-B389-4711-9FBD-1696824C8E93}"/>
      </w:docPartPr>
      <w:docPartBody>
        <w:p w:rsidR="005E24E5" w:rsidRDefault="004E56FF">
          <w:pPr>
            <w:pStyle w:val="07F3601A912D4EEBB123AAE6C525C8C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BB40D17DD89406695E70A3FBDB85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B5A29-C219-4B5D-8C52-9C7459C0DD19}"/>
      </w:docPartPr>
      <w:docPartBody>
        <w:p w:rsidR="005E24E5" w:rsidRDefault="004E56FF">
          <w:pPr>
            <w:pStyle w:val="9BB40D17DD89406695E70A3FBDB8533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EB64F0D9AEF45BEA5FCF1E036E31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40E57-57EC-44B0-B842-FAA18D94BA8E}"/>
      </w:docPartPr>
      <w:docPartBody>
        <w:p w:rsidR="005E24E5" w:rsidRDefault="004E56FF">
          <w:pPr>
            <w:pStyle w:val="7EB64F0D9AEF45BEA5FCF1E036E319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B29A743463485197CFE477844F4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F146-8E85-4F1A-B954-021CB987C8F6}"/>
      </w:docPartPr>
      <w:docPartBody>
        <w:p w:rsidR="005E24E5" w:rsidRDefault="004E56FF">
          <w:pPr>
            <w:pStyle w:val="DDB29A743463485197CFE477844F46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69FCB0F00AB479A92183DCA5CF76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B9B38-78A2-485B-8564-C1E9BFDF10CB}"/>
      </w:docPartPr>
      <w:docPartBody>
        <w:p w:rsidR="005E24E5" w:rsidRDefault="004E56FF">
          <w:pPr>
            <w:pStyle w:val="F69FCB0F00AB479A92183DCA5CF7609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FCD2AA8C224479586ACAAD3008C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FBA55-C011-4277-BEE6-5F099B7076F8}"/>
      </w:docPartPr>
      <w:docPartBody>
        <w:p w:rsidR="005E24E5" w:rsidRDefault="004E56FF">
          <w:pPr>
            <w:pStyle w:val="2FCD2AA8C224479586ACAAD3008C1C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6C293436EF241A1836005E353828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22E7E-B578-4F5D-B48F-0542DF98504B}"/>
      </w:docPartPr>
      <w:docPartBody>
        <w:p w:rsidR="005E24E5" w:rsidRDefault="004E56FF">
          <w:pPr>
            <w:pStyle w:val="A6C293436EF241A1836005E3538286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C82DD8D05B4F74A13027E439C4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F1E03-3A87-4AD8-A4F0-EF575404F999}"/>
      </w:docPartPr>
      <w:docPartBody>
        <w:p w:rsidR="005E24E5" w:rsidRDefault="004E56FF">
          <w:pPr>
            <w:pStyle w:val="6BC82DD8D05B4F74A13027E439C4A90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FF"/>
    <w:rsid w:val="004E56FF"/>
    <w:rsid w:val="005E24E5"/>
    <w:rsid w:val="0081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126EF3CA534BC2BD99494FF319771E">
    <w:name w:val="F0126EF3CA534BC2BD99494FF319771E"/>
  </w:style>
  <w:style w:type="paragraph" w:customStyle="1" w:styleId="C607073F08A6494FAF3E12C0EE1FC39B">
    <w:name w:val="C607073F08A6494FAF3E12C0EE1FC39B"/>
  </w:style>
  <w:style w:type="paragraph" w:customStyle="1" w:styleId="2EE53C7EB80B42E7A102A6954C826716">
    <w:name w:val="2EE53C7EB80B42E7A102A6954C826716"/>
  </w:style>
  <w:style w:type="paragraph" w:customStyle="1" w:styleId="07F3601A912D4EEBB123AAE6C525C8CD">
    <w:name w:val="07F3601A912D4EEBB123AAE6C525C8CD"/>
  </w:style>
  <w:style w:type="paragraph" w:customStyle="1" w:styleId="9BB40D17DD89406695E70A3FBDB8533F">
    <w:name w:val="9BB40D17DD89406695E70A3FBDB8533F"/>
  </w:style>
  <w:style w:type="paragraph" w:customStyle="1" w:styleId="7EB64F0D9AEF45BEA5FCF1E036E3192C">
    <w:name w:val="7EB64F0D9AEF45BEA5FCF1E036E3192C"/>
  </w:style>
  <w:style w:type="paragraph" w:customStyle="1" w:styleId="DDB29A743463485197CFE477844F4649">
    <w:name w:val="DDB29A743463485197CFE477844F4649"/>
  </w:style>
  <w:style w:type="paragraph" w:customStyle="1" w:styleId="F69FCB0F00AB479A92183DCA5CF76094">
    <w:name w:val="F69FCB0F00AB479A92183DCA5CF76094"/>
  </w:style>
  <w:style w:type="paragraph" w:customStyle="1" w:styleId="2FCD2AA8C224479586ACAAD3008C1C09">
    <w:name w:val="2FCD2AA8C224479586ACAAD3008C1C09"/>
  </w:style>
  <w:style w:type="paragraph" w:customStyle="1" w:styleId="A6C293436EF241A1836005E3538286E4">
    <w:name w:val="A6C293436EF241A1836005E3538286E4"/>
  </w:style>
  <w:style w:type="paragraph" w:customStyle="1" w:styleId="6BC82DD8D05B4F74A13027E439C4A903">
    <w:name w:val="6BC82DD8D05B4F74A13027E439C4A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Con98</b:Tag>
    <b:SourceType>Book</b:SourceType>
    <b:Guid>{1D8D4E67-221F-4CDB-A2C9-1A2ADA628594}</b:Guid>
    <b:Title>Contemporary Art in Syria, 1898-1998</b:Title>
    <b:Year>1998</b:Year>
    <b:City>Damascus</b:City>
    <b:Publisher>Gallery Atassi</b:Publisher>
    <b:StateProvince>Syria</b:StateProvince>
    <b:Comments>Most comprehensively illustrated volume on Modern Syrian art.</b:Comments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RefOrder>1</b:RefOrder>
  </b:Source>
  <b:Source>
    <b:Tag>Ins93</b:Tag>
    <b:SourceType>Book</b:SourceType>
    <b:Guid>{3245011D-0A1B-4639-B7BD-D983FC9C63D1}</b:Guid>
    <b:Title>Institut du Monde Arabe Marwan: Peintures, Gravures</b:Title>
    <b:Year>1993</b:Year>
    <b:City>Paris</b:City>
    <b:Publisher>Institut du Monde Arabe</b:Publisher>
    <b:Comments>Exhibition catalogue</b:Comments>
    <b:RefOrder>2</b:RefOrder>
  </b:Source>
  <b:Source>
    <b:Tag>Mun96</b:Tag>
    <b:SourceType>Book</b:SourceType>
    <b:Guid>{35A731BB-8168-459A-8A2E-DB83774D9717}</b:Guid>
    <b:Author>
      <b:Author>
        <b:NameList>
          <b:Person>
            <b:Last>Munīf</b:Last>
            <b:First>ʻAbd</b:First>
            <b:Middle>al-Raḥmān</b:Middle>
          </b:Person>
        </b:NameList>
      </b:Author>
    </b:Author>
    <b:Title>Marwan Qassab Bashi: Riḥlat al-˘ayāt wa-l-Fann [Marwan Kassab Bachi: Art and Life’s Journey]</b:Title>
    <b:Year>1996</b:Year>
    <b:City>Syria</b:City>
    <b:Publisher>Muʼassasat al-ṣāliḥī</b:Publisher>
    <b:Comments>A detailed account of Marwan’s life and work by respected author Abdurrahman Munif, a close friend of the artist.</b:Comments>
    <b:RefOrder>3</b:RefOrder>
  </b:Source>
</b:Sources>
</file>

<file path=customXml/itemProps1.xml><?xml version="1.0" encoding="utf-8"?>
<ds:datastoreItem xmlns:ds="http://schemas.openxmlformats.org/officeDocument/2006/customXml" ds:itemID="{846C14CB-AFA5-A740-8771-C2DD3FD1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\Users\DAWN\Documents\GitHub\REM\++Templated Entries\++Pinkoski Template Drafts\SP Completed\Bachi\BachiSP.dotx</Template>
  <TotalTime>12</TotalTime>
  <Pages>2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2014-08-24T18:21:00Z</dcterms:created>
  <dcterms:modified xsi:type="dcterms:W3CDTF">2014-09-27T15:02:00Z</dcterms:modified>
</cp:coreProperties>
</file>