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E39253" w14:textId="77777777" w:rsidTr="00586778">
        <w:tc>
          <w:tcPr>
            <w:tcW w:w="491" w:type="dxa"/>
            <w:vMerge w:val="restart"/>
            <w:shd w:val="clear" w:color="auto" w:fill="A6A6A6" w:themeFill="background1" w:themeFillShade="A6"/>
            <w:textDirection w:val="btLr"/>
          </w:tcPr>
          <w:p w14:paraId="00BEDF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0D8598FAA6384EB3E6DB6CC79A6983"/>
            </w:placeholder>
            <w:showingPlcHdr/>
            <w:dropDownList>
              <w:listItem w:displayText="Dr." w:value="Dr."/>
              <w:listItem w:displayText="Prof." w:value="Prof."/>
            </w:dropDownList>
          </w:sdtPr>
          <w:sdtContent>
            <w:tc>
              <w:tcPr>
                <w:tcW w:w="1296" w:type="dxa"/>
              </w:tcPr>
              <w:p w14:paraId="359774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0E6E28E2" w14:textId="77777777" w:rsidR="00B574C9" w:rsidRDefault="00386CF4" w:rsidP="00386CF4">
            <w:r>
              <w:t>Sarah-Neel</w:t>
            </w:r>
          </w:p>
        </w:tc>
        <w:sdt>
          <w:sdtPr>
            <w:alias w:val="Middle name"/>
            <w:tag w:val="authorMiddleName"/>
            <w:id w:val="-2076034781"/>
            <w:placeholder>
              <w:docPart w:val="A2F5BDED41F5414D922D8A83D0FEB93D"/>
            </w:placeholder>
            <w:showingPlcHdr/>
            <w:text/>
          </w:sdtPr>
          <w:sdtContent>
            <w:tc>
              <w:tcPr>
                <w:tcW w:w="2551" w:type="dxa"/>
              </w:tcPr>
              <w:p w14:paraId="33231130" w14:textId="77777777" w:rsidR="00B574C9" w:rsidRDefault="00B574C9" w:rsidP="00922950">
                <w:r>
                  <w:rPr>
                    <w:rStyle w:val="PlaceholderText"/>
                  </w:rPr>
                  <w:t>[Middle name]</w:t>
                </w:r>
              </w:p>
            </w:tc>
          </w:sdtContent>
        </w:sdt>
        <w:sdt>
          <w:sdtPr>
            <w:alias w:val="Last name"/>
            <w:tag w:val="authorLastName"/>
            <w:id w:val="-1088529830"/>
            <w:placeholder>
              <w:docPart w:val="3FC35AE11B874343A969426DF3E1BBDA"/>
            </w:placeholder>
            <w:text/>
          </w:sdtPr>
          <w:sdtContent>
            <w:tc>
              <w:tcPr>
                <w:tcW w:w="2642" w:type="dxa"/>
              </w:tcPr>
              <w:p w14:paraId="635722EC" w14:textId="77777777" w:rsidR="00B574C9" w:rsidRDefault="00386CF4" w:rsidP="00386CF4">
                <w:r>
                  <w:t>Smith</w:t>
                </w:r>
              </w:p>
            </w:tc>
          </w:sdtContent>
        </w:sdt>
      </w:tr>
      <w:tr w:rsidR="00B574C9" w14:paraId="457E0D80" w14:textId="77777777" w:rsidTr="00586778">
        <w:trPr>
          <w:trHeight w:val="986"/>
        </w:trPr>
        <w:tc>
          <w:tcPr>
            <w:tcW w:w="491" w:type="dxa"/>
            <w:vMerge/>
            <w:shd w:val="clear" w:color="auto" w:fill="A6A6A6" w:themeFill="background1" w:themeFillShade="A6"/>
          </w:tcPr>
          <w:p w14:paraId="557144C8" w14:textId="77777777" w:rsidR="00B574C9" w:rsidRPr="001A6A06" w:rsidRDefault="00B574C9" w:rsidP="00CF1542">
            <w:pPr>
              <w:jc w:val="center"/>
              <w:rPr>
                <w:b/>
                <w:color w:val="FFFFFF" w:themeColor="background1"/>
              </w:rPr>
            </w:pPr>
          </w:p>
        </w:tc>
        <w:sdt>
          <w:sdtPr>
            <w:alias w:val="Biography"/>
            <w:tag w:val="authorBiography"/>
            <w:id w:val="938807824"/>
            <w:placeholder>
              <w:docPart w:val="03EF57CEE3797540AE643AB260472650"/>
            </w:placeholder>
            <w:showingPlcHdr/>
          </w:sdtPr>
          <w:sdtContent>
            <w:tc>
              <w:tcPr>
                <w:tcW w:w="8562" w:type="dxa"/>
                <w:gridSpan w:val="4"/>
              </w:tcPr>
              <w:p w14:paraId="75688332" w14:textId="77777777" w:rsidR="00B574C9" w:rsidRDefault="00B574C9" w:rsidP="00922950">
                <w:r>
                  <w:rPr>
                    <w:rStyle w:val="PlaceholderText"/>
                  </w:rPr>
                  <w:t>[Enter your biography]</w:t>
                </w:r>
              </w:p>
            </w:tc>
          </w:sdtContent>
        </w:sdt>
      </w:tr>
      <w:tr w:rsidR="00B574C9" w14:paraId="390F04ED" w14:textId="77777777" w:rsidTr="00586778">
        <w:trPr>
          <w:trHeight w:val="986"/>
        </w:trPr>
        <w:tc>
          <w:tcPr>
            <w:tcW w:w="491" w:type="dxa"/>
            <w:vMerge/>
            <w:shd w:val="clear" w:color="auto" w:fill="A6A6A6" w:themeFill="background1" w:themeFillShade="A6"/>
          </w:tcPr>
          <w:p w14:paraId="0FD8B68D" w14:textId="77777777" w:rsidR="00B574C9" w:rsidRPr="001A6A06" w:rsidRDefault="00B574C9" w:rsidP="00CF1542">
            <w:pPr>
              <w:jc w:val="center"/>
              <w:rPr>
                <w:b/>
                <w:color w:val="FFFFFF" w:themeColor="background1"/>
              </w:rPr>
            </w:pPr>
          </w:p>
        </w:tc>
        <w:sdt>
          <w:sdtPr>
            <w:alias w:val="Affiliation"/>
            <w:tag w:val="affiliation"/>
            <w:id w:val="2012937915"/>
            <w:placeholder>
              <w:docPart w:val="7BC54F54238BDE4ABB6E32FA02EB5977"/>
            </w:placeholder>
            <w:text/>
          </w:sdtPr>
          <w:sdtContent>
            <w:tc>
              <w:tcPr>
                <w:tcW w:w="8562" w:type="dxa"/>
                <w:gridSpan w:val="4"/>
              </w:tcPr>
              <w:p w14:paraId="07E00AE7" w14:textId="26A0979E" w:rsidR="00B574C9" w:rsidRDefault="00586778" w:rsidP="00B574C9">
                <w:r w:rsidRPr="00586778">
                  <w:rPr>
                    <w:rFonts w:ascii="Calibri" w:eastAsia="Times New Roman" w:hAnsi="Calibri" w:cs="Times New Roman"/>
                    <w:lang w:val="en-CA"/>
                  </w:rPr>
                  <w:t>University of California, Los Angeles</w:t>
                </w:r>
              </w:p>
            </w:tc>
          </w:sdtContent>
        </w:sdt>
      </w:tr>
    </w:tbl>
    <w:p w14:paraId="103CDD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9F3404" w14:textId="77777777" w:rsidTr="00244BB0">
        <w:tc>
          <w:tcPr>
            <w:tcW w:w="9016" w:type="dxa"/>
            <w:shd w:val="clear" w:color="auto" w:fill="A6A6A6" w:themeFill="background1" w:themeFillShade="A6"/>
            <w:tcMar>
              <w:top w:w="113" w:type="dxa"/>
              <w:bottom w:w="113" w:type="dxa"/>
            </w:tcMar>
          </w:tcPr>
          <w:p w14:paraId="09FB0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109DB0" w14:textId="77777777" w:rsidTr="003F0D73">
        <w:sdt>
          <w:sdtPr>
            <w:alias w:val="Article headword"/>
            <w:tag w:val="articleHeadword"/>
            <w:id w:val="-361440020"/>
            <w:placeholder>
              <w:docPart w:val="C746BDD82AC22349ACB32F94A20504F1"/>
            </w:placeholder>
            <w:text/>
          </w:sdtPr>
          <w:sdtContent>
            <w:tc>
              <w:tcPr>
                <w:tcW w:w="9016" w:type="dxa"/>
                <w:tcMar>
                  <w:top w:w="113" w:type="dxa"/>
                  <w:bottom w:w="113" w:type="dxa"/>
                </w:tcMar>
              </w:tcPr>
              <w:p w14:paraId="5F9B8380" w14:textId="77777777" w:rsidR="003F0D73" w:rsidRPr="00FB589A" w:rsidRDefault="00386CF4" w:rsidP="00386CF4">
                <w:r w:rsidRPr="005006D8">
                  <w:rPr>
                    <w:lang w:val="en-US"/>
                  </w:rPr>
                  <w:t>The Group of Ten (</w:t>
                </w:r>
                <w:proofErr w:type="spellStart"/>
                <w:r w:rsidRPr="005006D8">
                  <w:rPr>
                    <w:lang w:val="en-US"/>
                  </w:rPr>
                  <w:t>Onlar</w:t>
                </w:r>
                <w:proofErr w:type="spellEnd"/>
                <w:r w:rsidRPr="005006D8">
                  <w:rPr>
                    <w:lang w:val="en-US"/>
                  </w:rPr>
                  <w:t>)</w:t>
                </w:r>
              </w:p>
            </w:tc>
          </w:sdtContent>
        </w:sdt>
      </w:tr>
      <w:tr w:rsidR="00464699" w14:paraId="0F60C997" w14:textId="77777777" w:rsidTr="00DF4AE9">
        <w:sdt>
          <w:sdtPr>
            <w:alias w:val="Variant headwords"/>
            <w:tag w:val="variantHeadwords"/>
            <w:id w:val="173464402"/>
            <w:placeholder>
              <w:docPart w:val="CA4C2298A1AA01458BF92B4092163A82"/>
            </w:placeholder>
            <w:showingPlcHdr/>
          </w:sdtPr>
          <w:sdtContent>
            <w:tc>
              <w:tcPr>
                <w:tcW w:w="9016" w:type="dxa"/>
                <w:tcMar>
                  <w:top w:w="113" w:type="dxa"/>
                  <w:bottom w:w="113" w:type="dxa"/>
                </w:tcMar>
              </w:tcPr>
              <w:p w14:paraId="547E61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8FE39C" w14:textId="77777777" w:rsidTr="003F0D73">
        <w:sdt>
          <w:sdtPr>
            <w:alias w:val="Abstract"/>
            <w:tag w:val="abstract"/>
            <w:id w:val="-635871867"/>
            <w:placeholder>
              <w:docPart w:val="7CA0C6C9247AC84D8C6083283E4F83EA"/>
            </w:placeholder>
          </w:sdtPr>
          <w:sdtContent>
            <w:tc>
              <w:tcPr>
                <w:tcW w:w="9016" w:type="dxa"/>
                <w:tcMar>
                  <w:top w:w="113" w:type="dxa"/>
                  <w:bottom w:w="113" w:type="dxa"/>
                </w:tcMar>
              </w:tcPr>
              <w:p w14:paraId="0F226BD8" w14:textId="7483647F" w:rsidR="00E85A05" w:rsidRDefault="00DF4AE9" w:rsidP="00CD2E05">
                <w:r w:rsidRPr="009279D0">
                  <w:t>The Group of Ten (</w:t>
                </w:r>
                <w:proofErr w:type="spellStart"/>
                <w:r w:rsidRPr="009279D0">
                  <w:rPr>
                    <w:i/>
                    <w:iCs/>
                  </w:rPr>
                  <w:t>Onlar</w:t>
                </w:r>
                <w:proofErr w:type="spellEnd"/>
                <w:r w:rsidRPr="009279D0">
                  <w:t xml:space="preserve">) was formed by ten students </w:t>
                </w:r>
                <w:r>
                  <w:t>under</w:t>
                </w:r>
                <w:r w:rsidRPr="009279D0">
                  <w:t xml:space="preserve"> </w:t>
                </w:r>
                <w:r w:rsidR="00CD2E05">
                  <w:t xml:space="preserve">the </w:t>
                </w:r>
                <w:r>
                  <w:t>tutelage</w:t>
                </w:r>
                <w:r w:rsidRPr="009279D0">
                  <w:t xml:space="preserve"> </w:t>
                </w:r>
                <w:r w:rsidR="00CD2E05">
                  <w:t xml:space="preserve">of </w:t>
                </w:r>
                <w:r w:rsidRPr="009279D0">
                  <w:t xml:space="preserve">prominent artist, critic, and poet </w:t>
                </w:r>
                <w:proofErr w:type="spellStart"/>
                <w:r w:rsidRPr="009279D0">
                  <w:t>Bedri</w:t>
                </w:r>
                <w:proofErr w:type="spellEnd"/>
                <w:r w:rsidRPr="009279D0">
                  <w:t xml:space="preserve"> </w:t>
                </w:r>
                <w:proofErr w:type="spellStart"/>
                <w:r w:rsidRPr="009279D0">
                  <w:t>Rahmi</w:t>
                </w:r>
                <w:proofErr w:type="spellEnd"/>
                <w:r w:rsidRPr="009279D0">
                  <w:t xml:space="preserve"> </w:t>
                </w:r>
                <w:proofErr w:type="spellStart"/>
                <w:r w:rsidRPr="009279D0">
                  <w:t>Eyüboğlu</w:t>
                </w:r>
                <w:proofErr w:type="spellEnd"/>
                <w:r w:rsidRPr="009279D0">
                  <w:t xml:space="preserve"> while at th</w:t>
                </w:r>
                <w:r w:rsidR="00CD2E05">
                  <w:t>e Istanbul Academy of Fine Arts. Composed of</w:t>
                </w:r>
                <w:r w:rsidRPr="009279D0">
                  <w:t xml:space="preserve"> Mustafa </w:t>
                </w:r>
                <w:proofErr w:type="spellStart"/>
                <w:r w:rsidRPr="009279D0">
                  <w:t>Esirkuş</w:t>
                </w:r>
                <w:proofErr w:type="spellEnd"/>
                <w:r w:rsidRPr="009279D0">
                  <w:t xml:space="preserve"> (1921-89), </w:t>
                </w:r>
                <w:proofErr w:type="spellStart"/>
                <w:r w:rsidRPr="009279D0">
                  <w:t>Nedim</w:t>
                </w:r>
                <w:proofErr w:type="spellEnd"/>
                <w:r w:rsidRPr="009279D0">
                  <w:t xml:space="preserve"> </w:t>
                </w:r>
                <w:proofErr w:type="spellStart"/>
                <w:r w:rsidRPr="009279D0">
                  <w:t>Günsür</w:t>
                </w:r>
                <w:proofErr w:type="spellEnd"/>
                <w:r w:rsidRPr="009279D0">
                  <w:t xml:space="preserve"> (1924-94), </w:t>
                </w:r>
                <w:proofErr w:type="spellStart"/>
                <w:r w:rsidRPr="009279D0">
                  <w:t>Leyla</w:t>
                </w:r>
                <w:proofErr w:type="spellEnd"/>
                <w:r w:rsidRPr="009279D0">
                  <w:t xml:space="preserve"> </w:t>
                </w:r>
                <w:proofErr w:type="spellStart"/>
                <w:r w:rsidRPr="009279D0">
                  <w:t>Gamsiz</w:t>
                </w:r>
                <w:proofErr w:type="spellEnd"/>
                <w:r w:rsidRPr="009279D0">
                  <w:t xml:space="preserve"> (1921-2010), </w:t>
                </w:r>
                <w:proofErr w:type="spellStart"/>
                <w:r w:rsidRPr="009279D0">
                  <w:t>Hulûsi</w:t>
                </w:r>
                <w:proofErr w:type="spellEnd"/>
                <w:r w:rsidRPr="009279D0">
                  <w:t xml:space="preserve"> </w:t>
                </w:r>
                <w:proofErr w:type="spellStart"/>
                <w:r w:rsidRPr="009279D0">
                  <w:t>Saptürk</w:t>
                </w:r>
                <w:proofErr w:type="spellEnd"/>
                <w:r w:rsidRPr="009279D0">
                  <w:t xml:space="preserve">, </w:t>
                </w:r>
                <w:proofErr w:type="spellStart"/>
                <w:r w:rsidRPr="009279D0">
                  <w:t>Fahrünnisa</w:t>
                </w:r>
                <w:proofErr w:type="spellEnd"/>
                <w:r w:rsidRPr="009279D0">
                  <w:t xml:space="preserve"> </w:t>
                </w:r>
                <w:proofErr w:type="spellStart"/>
                <w:r w:rsidRPr="009279D0">
                  <w:t>Sönmez</w:t>
                </w:r>
                <w:proofErr w:type="spellEnd"/>
                <w:r w:rsidRPr="009279D0">
                  <w:t xml:space="preserve">, İvy </w:t>
                </w:r>
                <w:proofErr w:type="spellStart"/>
                <w:r w:rsidRPr="009279D0">
                  <w:t>Stangali</w:t>
                </w:r>
                <w:proofErr w:type="spellEnd"/>
                <w:r w:rsidRPr="009279D0">
                  <w:t xml:space="preserve">, </w:t>
                </w:r>
                <w:proofErr w:type="spellStart"/>
                <w:r w:rsidRPr="009279D0">
                  <w:t>Turan</w:t>
                </w:r>
                <w:proofErr w:type="spellEnd"/>
                <w:r w:rsidRPr="009279D0">
                  <w:t xml:space="preserve"> </w:t>
                </w:r>
                <w:proofErr w:type="spellStart"/>
                <w:r w:rsidRPr="009279D0">
                  <w:t>Erol</w:t>
                </w:r>
                <w:proofErr w:type="spellEnd"/>
                <w:r w:rsidRPr="009279D0">
                  <w:t xml:space="preserve"> (1927-</w:t>
                </w:r>
                <w:r w:rsidR="00586778">
                  <w:t>-</w:t>
                </w:r>
                <w:r w:rsidRPr="009279D0">
                  <w:t xml:space="preserve">), </w:t>
                </w:r>
                <w:proofErr w:type="spellStart"/>
                <w:r w:rsidRPr="009279D0">
                  <w:t>Orhan</w:t>
                </w:r>
                <w:proofErr w:type="spellEnd"/>
                <w:r w:rsidRPr="009279D0">
                  <w:t xml:space="preserve"> </w:t>
                </w:r>
                <w:proofErr w:type="spellStart"/>
                <w:r w:rsidRPr="009279D0">
                  <w:t>Peker</w:t>
                </w:r>
                <w:proofErr w:type="spellEnd"/>
                <w:r w:rsidRPr="009279D0">
                  <w:t xml:space="preserve"> (1927-78), Mehmet </w:t>
                </w:r>
                <w:proofErr w:type="spellStart"/>
                <w:r w:rsidRPr="009279D0">
                  <w:t>Pesen</w:t>
                </w:r>
                <w:proofErr w:type="spellEnd"/>
                <w:r w:rsidRPr="009279D0">
                  <w:t xml:space="preserve"> (</w:t>
                </w:r>
                <w:r w:rsidR="00CD2E05">
                  <w:t>1923-</w:t>
                </w:r>
                <w:r w:rsidR="00586778">
                  <w:t>-</w:t>
                </w:r>
                <w:r w:rsidR="00CD2E05">
                  <w:t xml:space="preserve">), and </w:t>
                </w:r>
                <w:proofErr w:type="spellStart"/>
                <w:r w:rsidR="00CD2E05">
                  <w:t>Fikret</w:t>
                </w:r>
                <w:proofErr w:type="spellEnd"/>
                <w:r w:rsidR="00CD2E05">
                  <w:t xml:space="preserve"> </w:t>
                </w:r>
                <w:proofErr w:type="spellStart"/>
                <w:r w:rsidR="00CD2E05">
                  <w:t>Otyam</w:t>
                </w:r>
                <w:proofErr w:type="spellEnd"/>
                <w:r w:rsidR="00CD2E05">
                  <w:t xml:space="preserve"> (1926), the group was</w:t>
                </w:r>
                <w:r w:rsidRPr="009279D0">
                  <w:t xml:space="preserve"> Active </w:t>
                </w:r>
                <w:r>
                  <w:t>from</w:t>
                </w:r>
                <w:r w:rsidRPr="009279D0">
                  <w:t xml:space="preserve"> 1947 </w:t>
                </w:r>
                <w:r>
                  <w:t>to</w:t>
                </w:r>
                <w:r w:rsidR="00CD2E05">
                  <w:t xml:space="preserve"> 1955. The G</w:t>
                </w:r>
                <w:r w:rsidRPr="009279D0">
                  <w:t xml:space="preserve">roup </w:t>
                </w:r>
                <w:r w:rsidR="00CD2E05">
                  <w:t xml:space="preserve">of Ten </w:t>
                </w:r>
                <w:r w:rsidRPr="009279D0">
                  <w:t>argued that contemporary Turkish artists should engag</w:t>
                </w:r>
                <w:r>
                  <w:t xml:space="preserve">e with traditional </w:t>
                </w:r>
                <w:r w:rsidRPr="009279D0">
                  <w:t>Turkish folk and decorative arts</w:t>
                </w:r>
                <w:r w:rsidR="00CD2E05">
                  <w:t xml:space="preserve"> including</w:t>
                </w:r>
                <w:r w:rsidRPr="009279D0">
                  <w:t xml:space="preserve"> textiles, calligraphy, and architectural design. In </w:t>
                </w:r>
                <w:r>
                  <w:t>doing so,</w:t>
                </w:r>
                <w:r w:rsidRPr="009279D0">
                  <w:t xml:space="preserve"> the Group of Ten differed significantly from their immediate predecessors and c</w:t>
                </w:r>
                <w:r>
                  <w:t>ontemporaries (</w:t>
                </w:r>
                <w:r w:rsidRPr="009279D0">
                  <w:t xml:space="preserve">the </w:t>
                </w:r>
                <w:r>
                  <w:t>D Group and the Newcomers Group)</w:t>
                </w:r>
                <w:r w:rsidRPr="009279D0">
                  <w:t xml:space="preserve"> with whom they had a common educational background </w:t>
                </w:r>
                <w:r>
                  <w:t xml:space="preserve">from </w:t>
                </w:r>
                <w:r w:rsidRPr="009279D0">
                  <w:t xml:space="preserve">the Istanbul Fine Arts Academy and various Paris studios, including those of André </w:t>
                </w:r>
                <w:proofErr w:type="spellStart"/>
                <w:r w:rsidRPr="009279D0">
                  <w:t>Lhote</w:t>
                </w:r>
                <w:proofErr w:type="spellEnd"/>
                <w:r w:rsidRPr="009279D0">
                  <w:t xml:space="preserve"> and </w:t>
                </w:r>
                <w:proofErr w:type="spellStart"/>
                <w:r w:rsidRPr="009279D0">
                  <w:t>Fernand</w:t>
                </w:r>
                <w:proofErr w:type="spellEnd"/>
                <w:r w:rsidRPr="009279D0">
                  <w:t xml:space="preserve"> Leger. The D Group and the Newcomers charged themselves with reconciling local social realities with artistic styles associated with Western modernity, including Impressionist, Fauvist, and Cubist painting techniques. In contrast, the Group of Ten argued that Turkey’s storied decorative arts tradition had earned it an integral place w</w:t>
                </w:r>
                <w:r w:rsidR="001F4085">
                  <w:t>ithin a history of world civilis</w:t>
                </w:r>
                <w:r w:rsidRPr="009279D0">
                  <w:t xml:space="preserve">ation, and that such decorative modes should be carried through to </w:t>
                </w:r>
                <w:proofErr w:type="gramStart"/>
                <w:r w:rsidRPr="009279D0">
                  <w:t>art-making</w:t>
                </w:r>
                <w:proofErr w:type="gramEnd"/>
                <w:r w:rsidRPr="009279D0">
                  <w:t xml:space="preserve"> in the modern period.</w:t>
                </w:r>
              </w:p>
            </w:tc>
          </w:sdtContent>
        </w:sdt>
      </w:tr>
      <w:tr w:rsidR="003F0D73" w14:paraId="56B404CF" w14:textId="77777777" w:rsidTr="003F0D73">
        <w:sdt>
          <w:sdtPr>
            <w:alias w:val="Article text"/>
            <w:tag w:val="articleText"/>
            <w:id w:val="634067588"/>
            <w:placeholder>
              <w:docPart w:val="6200E079448E7845BD7916654E474F84"/>
            </w:placeholder>
          </w:sdtPr>
          <w:sdtEndPr>
            <w:rPr>
              <w:vanish/>
              <w:highlight w:val="yellow"/>
            </w:rPr>
          </w:sdtEndPr>
          <w:sdtContent>
            <w:tc>
              <w:tcPr>
                <w:tcW w:w="9016" w:type="dxa"/>
                <w:tcMar>
                  <w:top w:w="113" w:type="dxa"/>
                  <w:bottom w:w="113" w:type="dxa"/>
                </w:tcMar>
              </w:tcPr>
              <w:sdt>
                <w:sdtPr>
                  <w:alias w:val="Abstract"/>
                  <w:tag w:val="abstract"/>
                  <w:id w:val="-1188831840"/>
                  <w:placeholder>
                    <w:docPart w:val="59B707D2A020BD4982A797C61CB7F150"/>
                  </w:placeholder>
                </w:sdtPr>
                <w:sdtContent>
                  <w:p w14:paraId="7BFF75FB" w14:textId="77777777" w:rsidR="001F4085" w:rsidRDefault="001F4085" w:rsidP="00386CF4">
                    <w:proofErr w:type="gramStart"/>
                    <w:r w:rsidRPr="009279D0">
                      <w:t>The Group of Ten (</w:t>
                    </w:r>
                    <w:proofErr w:type="spellStart"/>
                    <w:r w:rsidRPr="009279D0">
                      <w:rPr>
                        <w:i/>
                        <w:iCs/>
                      </w:rPr>
                      <w:t>Onlar</w:t>
                    </w:r>
                    <w:proofErr w:type="spellEnd"/>
                    <w:r w:rsidRPr="009279D0">
                      <w:t xml:space="preserve">) was formed by ten students </w:t>
                    </w:r>
                    <w:r>
                      <w:t>under</w:t>
                    </w:r>
                    <w:r w:rsidRPr="009279D0">
                      <w:t xml:space="preserve"> </w:t>
                    </w:r>
                    <w:r>
                      <w:t>the tutelage</w:t>
                    </w:r>
                    <w:r w:rsidRPr="009279D0">
                      <w:t xml:space="preserve"> </w:t>
                    </w:r>
                    <w:r>
                      <w:t xml:space="preserve">of </w:t>
                    </w:r>
                    <w:r w:rsidRPr="009279D0">
                      <w:t xml:space="preserve">prominent artist, critic, and poet </w:t>
                    </w:r>
                    <w:proofErr w:type="spellStart"/>
                    <w:r w:rsidRPr="009279D0">
                      <w:t>Bedri</w:t>
                    </w:r>
                    <w:proofErr w:type="spellEnd"/>
                    <w:r w:rsidRPr="009279D0">
                      <w:t xml:space="preserve"> </w:t>
                    </w:r>
                    <w:proofErr w:type="spellStart"/>
                    <w:r w:rsidRPr="009279D0">
                      <w:t>Rahmi</w:t>
                    </w:r>
                    <w:proofErr w:type="spellEnd"/>
                    <w:r w:rsidRPr="009279D0">
                      <w:t xml:space="preserve"> </w:t>
                    </w:r>
                    <w:proofErr w:type="spellStart"/>
                    <w:r w:rsidRPr="009279D0">
                      <w:t>Eyüboğlu</w:t>
                    </w:r>
                    <w:proofErr w:type="spellEnd"/>
                    <w:r w:rsidRPr="009279D0">
                      <w:t xml:space="preserve"> while at th</w:t>
                    </w:r>
                    <w:r>
                      <w:t>e Istanbul Academy of Fine Arts</w:t>
                    </w:r>
                    <w:proofErr w:type="gramEnd"/>
                    <w:r>
                      <w:t>. Composed of</w:t>
                    </w:r>
                    <w:r w:rsidRPr="009279D0">
                      <w:t xml:space="preserve"> Mustafa </w:t>
                    </w:r>
                    <w:proofErr w:type="spellStart"/>
                    <w:r w:rsidRPr="009279D0">
                      <w:t>Esirkuş</w:t>
                    </w:r>
                    <w:proofErr w:type="spellEnd"/>
                    <w:r w:rsidRPr="009279D0">
                      <w:t xml:space="preserve"> (1921-89), </w:t>
                    </w:r>
                    <w:proofErr w:type="spellStart"/>
                    <w:r w:rsidRPr="009279D0">
                      <w:t>Nedim</w:t>
                    </w:r>
                    <w:proofErr w:type="spellEnd"/>
                    <w:r w:rsidRPr="009279D0">
                      <w:t xml:space="preserve"> </w:t>
                    </w:r>
                    <w:proofErr w:type="spellStart"/>
                    <w:r w:rsidRPr="009279D0">
                      <w:t>Günsür</w:t>
                    </w:r>
                    <w:proofErr w:type="spellEnd"/>
                    <w:r w:rsidRPr="009279D0">
                      <w:t xml:space="preserve"> (1924-94), </w:t>
                    </w:r>
                    <w:proofErr w:type="spellStart"/>
                    <w:r w:rsidRPr="009279D0">
                      <w:t>Leyla</w:t>
                    </w:r>
                    <w:proofErr w:type="spellEnd"/>
                    <w:r w:rsidRPr="009279D0">
                      <w:t xml:space="preserve"> </w:t>
                    </w:r>
                    <w:proofErr w:type="spellStart"/>
                    <w:r w:rsidRPr="009279D0">
                      <w:t>Gamsiz</w:t>
                    </w:r>
                    <w:proofErr w:type="spellEnd"/>
                    <w:r w:rsidRPr="009279D0">
                      <w:t xml:space="preserve"> (1921-2010), </w:t>
                    </w:r>
                    <w:proofErr w:type="spellStart"/>
                    <w:r w:rsidRPr="009279D0">
                      <w:t>Hulûsi</w:t>
                    </w:r>
                    <w:proofErr w:type="spellEnd"/>
                    <w:r w:rsidRPr="009279D0">
                      <w:t xml:space="preserve"> </w:t>
                    </w:r>
                    <w:proofErr w:type="spellStart"/>
                    <w:r w:rsidRPr="009279D0">
                      <w:t>Saptürk</w:t>
                    </w:r>
                    <w:proofErr w:type="spellEnd"/>
                    <w:r w:rsidRPr="009279D0">
                      <w:t xml:space="preserve">, </w:t>
                    </w:r>
                    <w:proofErr w:type="spellStart"/>
                    <w:r w:rsidRPr="009279D0">
                      <w:t>Fahrünnisa</w:t>
                    </w:r>
                    <w:proofErr w:type="spellEnd"/>
                    <w:r w:rsidRPr="009279D0">
                      <w:t xml:space="preserve"> </w:t>
                    </w:r>
                    <w:proofErr w:type="spellStart"/>
                    <w:r w:rsidRPr="009279D0">
                      <w:t>Sönmez</w:t>
                    </w:r>
                    <w:proofErr w:type="spellEnd"/>
                    <w:r w:rsidRPr="009279D0">
                      <w:t xml:space="preserve">, İvy </w:t>
                    </w:r>
                    <w:proofErr w:type="spellStart"/>
                    <w:r w:rsidRPr="009279D0">
                      <w:t>Stangali</w:t>
                    </w:r>
                    <w:proofErr w:type="spellEnd"/>
                    <w:r w:rsidRPr="009279D0">
                      <w:t xml:space="preserve">, </w:t>
                    </w:r>
                    <w:proofErr w:type="spellStart"/>
                    <w:r w:rsidRPr="009279D0">
                      <w:t>Turan</w:t>
                    </w:r>
                    <w:proofErr w:type="spellEnd"/>
                    <w:r w:rsidRPr="009279D0">
                      <w:t xml:space="preserve"> </w:t>
                    </w:r>
                    <w:proofErr w:type="spellStart"/>
                    <w:r w:rsidRPr="009279D0">
                      <w:t>Erol</w:t>
                    </w:r>
                    <w:proofErr w:type="spellEnd"/>
                    <w:r w:rsidRPr="009279D0">
                      <w:t xml:space="preserve"> (1927-), </w:t>
                    </w:r>
                    <w:proofErr w:type="spellStart"/>
                    <w:r w:rsidRPr="009279D0">
                      <w:t>Orhan</w:t>
                    </w:r>
                    <w:proofErr w:type="spellEnd"/>
                    <w:r w:rsidRPr="009279D0">
                      <w:t xml:space="preserve"> </w:t>
                    </w:r>
                    <w:proofErr w:type="spellStart"/>
                    <w:r w:rsidRPr="009279D0">
                      <w:t>Peker</w:t>
                    </w:r>
                    <w:proofErr w:type="spellEnd"/>
                    <w:r w:rsidRPr="009279D0">
                      <w:t xml:space="preserve"> (1927-78), Mehmet </w:t>
                    </w:r>
                    <w:proofErr w:type="spellStart"/>
                    <w:r w:rsidRPr="009279D0">
                      <w:t>Pesen</w:t>
                    </w:r>
                    <w:proofErr w:type="spellEnd"/>
                    <w:r w:rsidRPr="009279D0">
                      <w:t xml:space="preserve"> (</w:t>
                    </w:r>
                    <w:r>
                      <w:t xml:space="preserve">1923-), and </w:t>
                    </w:r>
                    <w:proofErr w:type="spellStart"/>
                    <w:r>
                      <w:t>Fikret</w:t>
                    </w:r>
                    <w:proofErr w:type="spellEnd"/>
                    <w:r>
                      <w:t xml:space="preserve"> </w:t>
                    </w:r>
                    <w:proofErr w:type="spellStart"/>
                    <w:r>
                      <w:t>Otyam</w:t>
                    </w:r>
                    <w:proofErr w:type="spellEnd"/>
                    <w:r>
                      <w:t xml:space="preserve"> (1926), the group was</w:t>
                    </w:r>
                    <w:r w:rsidRPr="009279D0">
                      <w:t xml:space="preserve"> Active </w:t>
                    </w:r>
                    <w:r>
                      <w:t>from</w:t>
                    </w:r>
                    <w:r w:rsidRPr="009279D0">
                      <w:t xml:space="preserve"> 1947 </w:t>
                    </w:r>
                    <w:r>
                      <w:t>to 1955. The G</w:t>
                    </w:r>
                    <w:r w:rsidRPr="009279D0">
                      <w:t xml:space="preserve">roup </w:t>
                    </w:r>
                    <w:r>
                      <w:t xml:space="preserve">of Ten </w:t>
                    </w:r>
                    <w:r w:rsidRPr="009279D0">
                      <w:t>argued that contemporary Turkish artists should engag</w:t>
                    </w:r>
                    <w:r>
                      <w:t xml:space="preserve">e with traditional </w:t>
                    </w:r>
                    <w:r w:rsidRPr="009279D0">
                      <w:t>Turkish folk and decorative arts</w:t>
                    </w:r>
                    <w:r>
                      <w:t xml:space="preserve"> including</w:t>
                    </w:r>
                    <w:r w:rsidRPr="009279D0">
                      <w:t xml:space="preserve"> textiles, calligraphy, and architectural design. In </w:t>
                    </w:r>
                    <w:r>
                      <w:t>doing so,</w:t>
                    </w:r>
                    <w:r w:rsidRPr="009279D0">
                      <w:t xml:space="preserve"> the Group of Ten differed significantly from their immediate predecessors and c</w:t>
                    </w:r>
                    <w:r>
                      <w:t>ontemporaries (</w:t>
                    </w:r>
                    <w:r w:rsidRPr="009279D0">
                      <w:t xml:space="preserve">the </w:t>
                    </w:r>
                    <w:r>
                      <w:t>D Group and the Newcomers Group)</w:t>
                    </w:r>
                    <w:r w:rsidRPr="009279D0">
                      <w:t xml:space="preserve"> with whom they had a common educational background </w:t>
                    </w:r>
                    <w:r>
                      <w:t xml:space="preserve">from </w:t>
                    </w:r>
                    <w:r w:rsidRPr="009279D0">
                      <w:t xml:space="preserve">the Istanbul Fine Arts Academy and various Paris studios, including those of André </w:t>
                    </w:r>
                    <w:proofErr w:type="spellStart"/>
                    <w:r w:rsidRPr="009279D0">
                      <w:t>Lhote</w:t>
                    </w:r>
                    <w:proofErr w:type="spellEnd"/>
                    <w:r w:rsidRPr="009279D0">
                      <w:t xml:space="preserve"> and </w:t>
                    </w:r>
                    <w:proofErr w:type="spellStart"/>
                    <w:r w:rsidRPr="009279D0">
                      <w:t>Fernand</w:t>
                    </w:r>
                    <w:proofErr w:type="spellEnd"/>
                    <w:r w:rsidRPr="009279D0">
                      <w:t xml:space="preserve"> Leger. The D Group and the Newcomers charged themselves with reconciling local social realities with artistic styles associated with Western modernity, including Impressionist, Fauvist, and Cubist painting techniques. In contrast, the Group of Ten argued that Turkey’s storied decorative arts tradition had earned it an integral place w</w:t>
                    </w:r>
                    <w:r>
                      <w:t>ithin a history of world civilis</w:t>
                    </w:r>
                    <w:r w:rsidRPr="009279D0">
                      <w:t xml:space="preserve">ation, and that such decorative modes should be carried through to </w:t>
                    </w:r>
                    <w:proofErr w:type="gramStart"/>
                    <w:r w:rsidRPr="009279D0">
                      <w:t>art-making</w:t>
                    </w:r>
                    <w:proofErr w:type="gramEnd"/>
                    <w:r w:rsidRPr="009279D0">
                      <w:t xml:space="preserve"> in the modern period.</w:t>
                    </w:r>
                  </w:p>
                  <w:p w14:paraId="4353C458" w14:textId="125E0C42" w:rsidR="00386CF4" w:rsidRDefault="00B91BC7" w:rsidP="00386CF4"/>
                </w:sdtContent>
              </w:sdt>
              <w:p w14:paraId="7FA03C3B" w14:textId="6CCC1281" w:rsidR="00386CF4" w:rsidRPr="009279D0" w:rsidRDefault="00386CF4" w:rsidP="00386CF4">
                <w:r w:rsidRPr="009279D0">
                  <w:t>The Group of Ten advertised their inaugural exhib</w:t>
                </w:r>
                <w:r w:rsidR="00085935">
                  <w:t>ition with a poster juxtaposing</w:t>
                </w:r>
                <w:r w:rsidRPr="009279D0">
                  <w:t xml:space="preserve"> a traditional Turkish woven c</w:t>
                </w:r>
                <w:r w:rsidR="00085935">
                  <w:t>arpet with a</w:t>
                </w:r>
                <w:r w:rsidR="005D7556">
                  <w:t>n El Greco painting. In doing so, the poster</w:t>
                </w:r>
                <w:r w:rsidR="00085935">
                  <w:t xml:space="preserve"> </w:t>
                </w:r>
                <w:r w:rsidR="005D7556">
                  <w:t xml:space="preserve">visually </w:t>
                </w:r>
                <w:r w:rsidR="00085935">
                  <w:t xml:space="preserve">expressed </w:t>
                </w:r>
                <w:proofErr w:type="spellStart"/>
                <w:r w:rsidRPr="009279D0">
                  <w:t>Eyüboğlu’s</w:t>
                </w:r>
                <w:proofErr w:type="spellEnd"/>
                <w:r w:rsidRPr="009279D0">
                  <w:t xml:space="preserve"> argument that twentieth-century Turkish artists could claim their place in an emergent </w:t>
                </w:r>
                <w:r w:rsidRPr="009279D0">
                  <w:lastRenderedPageBreak/>
                  <w:t>modern art history by appealing to the</w:t>
                </w:r>
                <w:r w:rsidR="00B6132E">
                  <w:t xml:space="preserve"> East’s eminent history as the </w:t>
                </w:r>
                <w:commentRangeStart w:id="0"/>
                <w:r w:rsidR="00B6132E">
                  <w:t>‘</w:t>
                </w:r>
                <w:r w:rsidR="00B6132E" w:rsidRPr="009279D0">
                  <w:t>unrivalled</w:t>
                </w:r>
                <w:r w:rsidRPr="009279D0">
                  <w:t xml:space="preserve"> h</w:t>
                </w:r>
                <w:r w:rsidR="00B6132E">
                  <w:t>omeland of the decorative arts.’ ‘</w:t>
                </w:r>
                <w:r w:rsidRPr="009279D0">
                  <w:t xml:space="preserve">Our homeland never got pleasure out of the visual art that Westerners call </w:t>
                </w:r>
                <w:proofErr w:type="spellStart"/>
                <w:r w:rsidRPr="009279D0">
                  <w:rPr>
                    <w:i/>
                    <w:iCs/>
                  </w:rPr>
                  <w:t>peinture</w:t>
                </w:r>
                <w:proofErr w:type="spellEnd"/>
                <w:r w:rsidR="00B6132E">
                  <w:t>,’</w:t>
                </w:r>
                <w:commentRangeEnd w:id="0"/>
                <w:r w:rsidR="00B91BC7">
                  <w:rPr>
                    <w:rStyle w:val="CommentReference"/>
                  </w:rPr>
                  <w:commentReference w:id="0"/>
                </w:r>
                <w:r w:rsidR="00B6132E">
                  <w:t xml:space="preserve"> argued </w:t>
                </w:r>
                <w:proofErr w:type="spellStart"/>
                <w:r w:rsidR="00B6132E">
                  <w:t>Eyüboğlu</w:t>
                </w:r>
                <w:proofErr w:type="spellEnd"/>
                <w:r w:rsidR="00B6132E">
                  <w:t xml:space="preserve">. </w:t>
                </w:r>
                <w:commentRangeStart w:id="1"/>
                <w:r w:rsidR="00B6132E">
                  <w:t>‘</w:t>
                </w:r>
                <w:r w:rsidRPr="009279D0">
                  <w:t xml:space="preserve">But we produced every strain of decorative art, </w:t>
                </w:r>
                <w:r w:rsidR="003A21EA" w:rsidRPr="009279D0">
                  <w:t>rivalling</w:t>
                </w:r>
                <w:r w:rsidRPr="009279D0">
                  <w:t xml:space="preserve"> the greatest masterpieces of Western painting</w:t>
                </w:r>
                <w:r w:rsidR="003A21EA">
                  <w:t xml:space="preserve"> </w:t>
                </w:r>
                <w:r w:rsidR="00593589">
                  <w:t>—</w:t>
                </w:r>
                <w:r w:rsidR="003A21EA">
                  <w:t xml:space="preserve"> </w:t>
                </w:r>
                <w:r w:rsidRPr="009279D0">
                  <w:t>ceramics, textiles, calligr</w:t>
                </w:r>
                <w:r w:rsidR="00593589">
                  <w:t>aphy, ironwork, and engravings.’</w:t>
                </w:r>
                <w:r w:rsidRPr="009279D0">
                  <w:t xml:space="preserve"> </w:t>
                </w:r>
                <w:commentRangeEnd w:id="1"/>
                <w:r w:rsidR="00B91BC7">
                  <w:rPr>
                    <w:rStyle w:val="CommentReference"/>
                  </w:rPr>
                  <w:commentReference w:id="1"/>
                </w:r>
                <w:r w:rsidRPr="009279D0">
                  <w:t xml:space="preserve">Although </w:t>
                </w:r>
                <w:proofErr w:type="spellStart"/>
                <w:r w:rsidRPr="009279D0">
                  <w:t>Eyüboğlu</w:t>
                </w:r>
                <w:proofErr w:type="spellEnd"/>
                <w:r w:rsidRPr="009279D0">
                  <w:t xml:space="preserve"> suggested that the decorative arts belonged to Eastern cultures more generally, he and the Group of Ten took a highly specific view of Turkey’s own history. Theirs was a territorial view, which saw Turkish cultural</w:t>
                </w:r>
                <w:r w:rsidR="002F0BFF">
                  <w:t xml:space="preserve"> identity as rooted in the land. B</w:t>
                </w:r>
                <w:r w:rsidRPr="009279D0">
                  <w:t>y the mid-1950s, this perspective was widely shared amongst a broader community of intellectuals associated with the concept of Anato</w:t>
                </w:r>
                <w:r w:rsidR="00B91BC7">
                  <w:t>lian Humanism or Blue Anatolia [</w:t>
                </w:r>
                <w:proofErr w:type="spellStart"/>
                <w:r w:rsidRPr="009279D0">
                  <w:rPr>
                    <w:i/>
                    <w:iCs/>
                  </w:rPr>
                  <w:t>Mavi</w:t>
                </w:r>
                <w:proofErr w:type="spellEnd"/>
                <w:r w:rsidRPr="009279D0">
                  <w:rPr>
                    <w:i/>
                    <w:iCs/>
                  </w:rPr>
                  <w:t xml:space="preserve"> </w:t>
                </w:r>
                <w:proofErr w:type="spellStart"/>
                <w:r w:rsidRPr="009279D0">
                  <w:rPr>
                    <w:i/>
                    <w:iCs/>
                  </w:rPr>
                  <w:t>Anadolu</w:t>
                </w:r>
                <w:proofErr w:type="spellEnd"/>
                <w:r w:rsidR="00B91BC7">
                  <w:t>]</w:t>
                </w:r>
                <w:r w:rsidRPr="009279D0">
                  <w:t xml:space="preserve">, including the prominent figures </w:t>
                </w:r>
                <w:proofErr w:type="spellStart"/>
                <w:r w:rsidRPr="009279D0">
                  <w:t>Sabahattin</w:t>
                </w:r>
                <w:proofErr w:type="spellEnd"/>
                <w:r w:rsidRPr="009279D0">
                  <w:t xml:space="preserve"> </w:t>
                </w:r>
                <w:proofErr w:type="spellStart"/>
                <w:r w:rsidRPr="009279D0">
                  <w:t>Eyüboğlu</w:t>
                </w:r>
                <w:proofErr w:type="spellEnd"/>
                <w:r w:rsidRPr="009279D0">
                  <w:t xml:space="preserve"> (brother to </w:t>
                </w:r>
                <w:proofErr w:type="spellStart"/>
                <w:r w:rsidRPr="009279D0">
                  <w:t>Bedri</w:t>
                </w:r>
                <w:proofErr w:type="spellEnd"/>
                <w:r w:rsidRPr="009279D0">
                  <w:t xml:space="preserve"> </w:t>
                </w:r>
                <w:proofErr w:type="spellStart"/>
                <w:r w:rsidRPr="009279D0">
                  <w:t>Rahmi</w:t>
                </w:r>
                <w:proofErr w:type="spellEnd"/>
                <w:r w:rsidRPr="009279D0">
                  <w:t xml:space="preserve">), </w:t>
                </w:r>
                <w:proofErr w:type="spellStart"/>
                <w:r w:rsidRPr="009279D0">
                  <w:t>Azra</w:t>
                </w:r>
                <w:proofErr w:type="spellEnd"/>
                <w:r w:rsidRPr="009279D0">
                  <w:t xml:space="preserve"> </w:t>
                </w:r>
                <w:proofErr w:type="spellStart"/>
                <w:r w:rsidRPr="009279D0">
                  <w:t>Erh</w:t>
                </w:r>
                <w:r w:rsidR="00B91BC7">
                  <w:t>at</w:t>
                </w:r>
                <w:proofErr w:type="spellEnd"/>
                <w:r w:rsidR="00B91BC7">
                  <w:t xml:space="preserve">, and </w:t>
                </w:r>
                <w:proofErr w:type="spellStart"/>
                <w:r w:rsidR="00B91BC7">
                  <w:t>Cevat</w:t>
                </w:r>
                <w:proofErr w:type="spellEnd"/>
                <w:r w:rsidR="00B91BC7">
                  <w:t xml:space="preserve"> </w:t>
                </w:r>
                <w:proofErr w:type="spellStart"/>
                <w:r w:rsidR="00B91BC7">
                  <w:t>Şakir</w:t>
                </w:r>
                <w:proofErr w:type="spellEnd"/>
                <w:r w:rsidR="00B91BC7">
                  <w:t xml:space="preserve"> </w:t>
                </w:r>
                <w:proofErr w:type="spellStart"/>
                <w:r w:rsidR="00B91BC7">
                  <w:t>Kabaağaçlı</w:t>
                </w:r>
                <w:proofErr w:type="spellEnd"/>
                <w:r w:rsidR="00B91BC7">
                  <w:t xml:space="preserve"> [The Fisherman of </w:t>
                </w:r>
                <w:proofErr w:type="spellStart"/>
                <w:r w:rsidR="00B91BC7">
                  <w:t>Helicarnassus</w:t>
                </w:r>
                <w:proofErr w:type="spellEnd"/>
                <w:r w:rsidR="00B91BC7">
                  <w:t>]</w:t>
                </w:r>
                <w:r w:rsidRPr="009279D0">
                  <w:t>. The Group of Ten emerged contemporaneously with this strain of thought, which moved away from an early Republican interest in racial genealogies as a source of national identity to argue that the natural conditions of Turkey’s Anatolian heartland united the many cultures that inhabited the land throughout history.</w:t>
                </w:r>
              </w:p>
              <w:p w14:paraId="4133A296" w14:textId="77777777" w:rsidR="00386CF4" w:rsidRDefault="00386CF4" w:rsidP="00386CF4"/>
              <w:p w14:paraId="74F137C5" w14:textId="55FAB694" w:rsidR="00386CF4" w:rsidRPr="009279D0" w:rsidRDefault="00386CF4" w:rsidP="00386CF4">
                <w:r w:rsidRPr="009279D0">
                  <w:t xml:space="preserve">This emphasis on a Turkish cultural identity rooted in the land translated into a focus on rural scenes and domestic life. Artists such as </w:t>
                </w:r>
                <w:proofErr w:type="spellStart"/>
                <w:r w:rsidRPr="009279D0">
                  <w:t>Gamsiz</w:t>
                </w:r>
                <w:proofErr w:type="spellEnd"/>
                <w:r w:rsidRPr="009279D0">
                  <w:t xml:space="preserve"> and </w:t>
                </w:r>
                <w:proofErr w:type="spellStart"/>
                <w:r w:rsidRPr="009279D0">
                  <w:t>Peker’s</w:t>
                </w:r>
                <w:proofErr w:type="spellEnd"/>
                <w:r w:rsidRPr="009279D0">
                  <w:t xml:space="preserve"> bodies of work </w:t>
                </w:r>
                <w:r w:rsidR="0047774C" w:rsidRPr="009279D0">
                  <w:t>centred</w:t>
                </w:r>
                <w:r w:rsidRPr="009279D0">
                  <w:t xml:space="preserve"> largely on figures within domestic and pastoral environments. </w:t>
                </w:r>
                <w:proofErr w:type="spellStart"/>
                <w:r w:rsidRPr="009279D0">
                  <w:t>Erol</w:t>
                </w:r>
                <w:proofErr w:type="spellEnd"/>
                <w:r w:rsidRPr="009279D0">
                  <w:t xml:space="preserve">, for his part, widened the frame to show ramshackle village settlements and </w:t>
                </w:r>
                <w:r w:rsidR="00F73883" w:rsidRPr="009279D0">
                  <w:t>harbour</w:t>
                </w:r>
                <w:r w:rsidRPr="009279D0">
                  <w:t xml:space="preserve">-side shipbuilding. </w:t>
                </w:r>
                <w:proofErr w:type="spellStart"/>
                <w:r w:rsidRPr="009279D0">
                  <w:t>Günsür</w:t>
                </w:r>
                <w:proofErr w:type="spellEnd"/>
                <w:r w:rsidRPr="009279D0">
                  <w:t xml:space="preserve"> and </w:t>
                </w:r>
                <w:proofErr w:type="spellStart"/>
                <w:r w:rsidRPr="009279D0">
                  <w:t>Pesen</w:t>
                </w:r>
                <w:proofErr w:type="spellEnd"/>
                <w:r w:rsidRPr="009279D0">
                  <w:t xml:space="preserve"> developed distinctive styles that were especially representative of the Group of Ten’s formal program. </w:t>
                </w:r>
                <w:proofErr w:type="spellStart"/>
                <w:r w:rsidRPr="009279D0">
                  <w:t>Pesen</w:t>
                </w:r>
                <w:proofErr w:type="spellEnd"/>
                <w:r w:rsidRPr="009279D0">
                  <w:t xml:space="preserve"> adopted the format of miniature painting, producing flatly painted scenes of Turkish v</w:t>
                </w:r>
                <w:r w:rsidR="00F73883">
                  <w:t>illage life (</w:t>
                </w:r>
                <w:r w:rsidRPr="009279D0">
                  <w:t>particularly holid</w:t>
                </w:r>
                <w:r w:rsidR="00F73883">
                  <w:t xml:space="preserve">ay processions and celebrations) </w:t>
                </w:r>
                <w:r w:rsidRPr="009279D0">
                  <w:t xml:space="preserve">where countless tiny figures busily enacted various activities. </w:t>
                </w:r>
                <w:proofErr w:type="spellStart"/>
                <w:r w:rsidRPr="009279D0">
                  <w:t>Günsür</w:t>
                </w:r>
                <w:proofErr w:type="spellEnd"/>
                <w:r w:rsidRPr="009279D0">
                  <w:t>,</w:t>
                </w:r>
                <w:r w:rsidR="00005226">
                  <w:t xml:space="preserve"> for his part, portrayed idealis</w:t>
                </w:r>
                <w:r w:rsidRPr="009279D0">
                  <w:t>ed leisure scenes</w:t>
                </w:r>
                <w:r w:rsidR="00005226">
                  <w:t xml:space="preserve"> </w:t>
                </w:r>
                <w:r w:rsidRPr="009279D0">
                  <w:t>—</w:t>
                </w:r>
                <w:r w:rsidR="00005226">
                  <w:t xml:space="preserve"> </w:t>
                </w:r>
                <w:r w:rsidRPr="009279D0">
                  <w:t>picnics, outdoor fairs, kite-flying</w:t>
                </w:r>
                <w:r w:rsidR="00005226">
                  <w:t xml:space="preserve"> </w:t>
                </w:r>
                <w:r w:rsidRPr="009279D0">
                  <w:t>—</w:t>
                </w:r>
                <w:r w:rsidR="00005226">
                  <w:t xml:space="preserve"> </w:t>
                </w:r>
                <w:r w:rsidRPr="009279D0">
                  <w:t xml:space="preserve">in optimistic </w:t>
                </w:r>
                <w:r w:rsidR="00005226" w:rsidRPr="009279D0">
                  <w:t>colours</w:t>
                </w:r>
                <w:r w:rsidRPr="009279D0">
                  <w:t xml:space="preserve"> and minute detail, cultivating a deeply naïve aesthetic. Such modes of perspectival flattening, the use of strong outlines, and a palette of bright, unblended </w:t>
                </w:r>
                <w:r w:rsidR="0001524F" w:rsidRPr="009279D0">
                  <w:t>colours</w:t>
                </w:r>
                <w:r w:rsidRPr="009279D0">
                  <w:t xml:space="preserve"> were hallmarks of the group. These bold graphics, naïve modes, and evocations of local artistic traditions such as Anatolian embroidery, textiles, and rugs</w:t>
                </w:r>
                <w:r w:rsidR="0001524F">
                  <w:t xml:space="preserve"> were associated with an idealis</w:t>
                </w:r>
                <w:r w:rsidRPr="009279D0">
                  <w:t>ed view of Turkish village life as the surviving expression of an earlier, simpler time.</w:t>
                </w:r>
              </w:p>
              <w:p w14:paraId="64F57441" w14:textId="77777777" w:rsidR="00386CF4" w:rsidRDefault="00386CF4" w:rsidP="00386CF4"/>
              <w:p w14:paraId="3779CCD6" w14:textId="17B475C4" w:rsidR="003F0D73" w:rsidRDefault="00386CF4" w:rsidP="00C358F0">
                <w:r w:rsidRPr="009279D0">
                  <w:t xml:space="preserve">The Group of Ten abandoned the theme of direct social engagement with the Turkish </w:t>
                </w:r>
                <w:proofErr w:type="spellStart"/>
                <w:r w:rsidRPr="009279D0">
                  <w:rPr>
                    <w:i/>
                    <w:iCs/>
                  </w:rPr>
                  <w:t>halk</w:t>
                </w:r>
                <w:proofErr w:type="spellEnd"/>
                <w:r w:rsidRPr="009279D0">
                  <w:rPr>
                    <w:i/>
                    <w:iCs/>
                  </w:rPr>
                  <w:t xml:space="preserve"> </w:t>
                </w:r>
                <w:r w:rsidR="00B91BC7">
                  <w:t>[people]</w:t>
                </w:r>
                <w:r w:rsidRPr="009279D0">
                  <w:t xml:space="preserve"> that had been so important to the D Group and Newcomers Group, instead positioning the general population as the subject of their work and the source of their formal strategies. Nevertheless, in these artists’ emphasis on folk culture one can still identify the impulse to provide remedial attention to a society in flux, as the Republic of Turkey neared its first quarter century. With the Hom</w:t>
                </w:r>
                <w:r w:rsidR="00B91BC7">
                  <w:t>eland Tours [</w:t>
                </w:r>
                <w:r w:rsidRPr="009279D0">
                  <w:rPr>
                    <w:i/>
                    <w:iCs/>
                  </w:rPr>
                  <w:t>Yurt</w:t>
                </w:r>
                <w:r w:rsidRPr="009279D0">
                  <w:t xml:space="preserve"> </w:t>
                </w:r>
                <w:proofErr w:type="spellStart"/>
                <w:r w:rsidRPr="009279D0">
                  <w:rPr>
                    <w:i/>
                    <w:iCs/>
                  </w:rPr>
                  <w:t>Gezileri</w:t>
                </w:r>
                <w:proofErr w:type="spellEnd"/>
                <w:r w:rsidR="00B91BC7">
                  <w:t>]</w:t>
                </w:r>
                <w:r w:rsidRPr="009279D0">
                  <w:t xml:space="preserve"> of the late 1930s and early 1940s, urban artists directly encountered Turkey’</w:t>
                </w:r>
                <w:r w:rsidR="00C358F0">
                  <w:t>s rural life for the first time. B</w:t>
                </w:r>
                <w:r w:rsidRPr="009279D0">
                  <w:t>y the late 19</w:t>
                </w:r>
                <w:r w:rsidR="00C358F0">
                  <w:t>40s and early 1950s, however, the idealis</w:t>
                </w:r>
                <w:r w:rsidRPr="009279D0">
                  <w:t>ed pastoral life they so recently discovered seemed to be dissolving. As unprecedented numbers of provincial migrants made their way to Turkey’s cities, hybrid cultural forms</w:t>
                </w:r>
                <w:r w:rsidR="00C358F0">
                  <w:t xml:space="preserve"> </w:t>
                </w:r>
                <w:r w:rsidRPr="009279D0">
                  <w:t>—</w:t>
                </w:r>
                <w:r w:rsidR="00C358F0">
                  <w:t xml:space="preserve"> </w:t>
                </w:r>
                <w:r w:rsidRPr="009279D0">
                  <w:t>whether music, hand</w:t>
                </w:r>
                <w:bookmarkStart w:id="2" w:name="_GoBack"/>
                <w:bookmarkEnd w:id="2"/>
                <w:r w:rsidRPr="009279D0">
                  <w:t>icrafts, or cuisine</w:t>
                </w:r>
                <w:r w:rsidR="00C358F0">
                  <w:t xml:space="preserve"> </w:t>
                </w:r>
                <w:r w:rsidRPr="009279D0">
                  <w:t>—</w:t>
                </w:r>
                <w:r w:rsidR="00C358F0">
                  <w:t xml:space="preserve"> challenged the notion of ‘pure’</w:t>
                </w:r>
                <w:r w:rsidRPr="009279D0">
                  <w:t xml:space="preserve"> Turkish folk culture and gave expression to growing societal tensions rooted in rapid urban growth and economic ch</w:t>
                </w:r>
                <w:r w:rsidR="00C358F0">
                  <w:t>ange. The Group of Ten’s idealis</w:t>
                </w:r>
                <w:r w:rsidRPr="009279D0">
                  <w:t xml:space="preserve">ation of a Turkish decorative tradition as something shared by </w:t>
                </w:r>
                <w:r w:rsidRPr="009279D0">
                  <w:rPr>
                    <w:i/>
                    <w:iCs/>
                  </w:rPr>
                  <w:t xml:space="preserve">all </w:t>
                </w:r>
                <w:r w:rsidRPr="009279D0">
                  <w:t>Turks, and their suggestion that such a tradition had continuing pertinence for the contemporary moment, positioned their art as an antidote to the social upheavals of the time. At the same time, the Group of Ten’s decorative aesthetic and palatable subject matter would also have been appealing to a small but growing urban public and the nascent art market of the 1950s. The urban population explosion stimulated the construction of countless new buildings</w:t>
                </w:r>
                <w:r w:rsidR="00C358F0">
                  <w:t xml:space="preserve"> </w:t>
                </w:r>
                <w:r w:rsidRPr="009279D0">
                  <w:t>—</w:t>
                </w:r>
                <w:r w:rsidR="00C358F0">
                  <w:t xml:space="preserve"> </w:t>
                </w:r>
                <w:r w:rsidRPr="009279D0">
                  <w:t>banks, hotels, and municipal buildings chief among them</w:t>
                </w:r>
                <w:r w:rsidR="00C358F0">
                  <w:t xml:space="preserve"> </w:t>
                </w:r>
                <w:r w:rsidRPr="009279D0">
                  <w:t>—</w:t>
                </w:r>
                <w:r w:rsidR="00C358F0">
                  <w:t xml:space="preserve"> </w:t>
                </w:r>
                <w:r w:rsidRPr="009279D0">
                  <w:t xml:space="preserve">and a corresponding demand for artwork to fill them. Not only the Group of Ten’s main mentor </w:t>
                </w:r>
                <w:proofErr w:type="spellStart"/>
                <w:r w:rsidRPr="009279D0">
                  <w:t>Eyüboğlu</w:t>
                </w:r>
                <w:proofErr w:type="spellEnd"/>
                <w:r w:rsidRPr="009279D0">
                  <w:t xml:space="preserve">, but individual members of the group such as </w:t>
                </w:r>
                <w:proofErr w:type="spellStart"/>
                <w:r w:rsidRPr="009279D0">
                  <w:t>Günsür</w:t>
                </w:r>
                <w:proofErr w:type="spellEnd"/>
                <w:r w:rsidRPr="009279D0">
                  <w:t>, would go on to produce commissions for these new public spaces</w:t>
                </w:r>
                <w:r w:rsidR="00D55A76">
                  <w:t xml:space="preserve"> </w:t>
                </w:r>
                <w:r w:rsidRPr="009279D0">
                  <w:t>—decorative signifiers of Anatolian folk culture lodged within the new edifices of Turkish modernism.</w:t>
                </w:r>
              </w:p>
            </w:tc>
          </w:sdtContent>
        </w:sdt>
      </w:tr>
      <w:tr w:rsidR="003235A7" w14:paraId="6F653201" w14:textId="77777777" w:rsidTr="003235A7">
        <w:tc>
          <w:tcPr>
            <w:tcW w:w="9016" w:type="dxa"/>
          </w:tcPr>
          <w:p w14:paraId="53295596" w14:textId="77777777" w:rsidR="003235A7" w:rsidRDefault="003235A7" w:rsidP="008A5B87">
            <w:r w:rsidRPr="0015114C">
              <w:rPr>
                <w:u w:val="single"/>
              </w:rPr>
              <w:lastRenderedPageBreak/>
              <w:t>Further reading</w:t>
            </w:r>
            <w:r>
              <w:t>:</w:t>
            </w:r>
          </w:p>
          <w:p w14:paraId="73C533E8" w14:textId="18A113AE" w:rsidR="003235A7" w:rsidRPr="004F02F8" w:rsidRDefault="00B91BC7" w:rsidP="004F02F8">
            <w:sdt>
              <w:sdtPr>
                <w:id w:val="1313055855"/>
                <w:citation/>
              </w:sdtPr>
              <w:sdtContent>
                <w:r w:rsidR="004F02F8">
                  <w:fldChar w:fldCharType="begin"/>
                </w:r>
                <w:r w:rsidR="004F02F8">
                  <w:rPr>
                    <w:lang w:val="en-US"/>
                  </w:rPr>
                  <w:instrText xml:space="preserve"> CITATION Sha111 \l 1033 </w:instrText>
                </w:r>
                <w:r w:rsidR="004F02F8">
                  <w:fldChar w:fldCharType="separate"/>
                </w:r>
                <w:r w:rsidR="004F02F8" w:rsidRPr="004F02F8">
                  <w:rPr>
                    <w:noProof/>
                    <w:lang w:val="en-US"/>
                  </w:rPr>
                  <w:t>(Shaw)</w:t>
                </w:r>
                <w:r w:rsidR="004F02F8">
                  <w:fldChar w:fldCharType="end"/>
                </w:r>
              </w:sdtContent>
            </w:sdt>
          </w:p>
        </w:tc>
      </w:tr>
    </w:tbl>
    <w:p w14:paraId="183C51C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02T14:54:00Z" w:initials="LD">
    <w:p w14:paraId="66629534" w14:textId="5BE0A0A4" w:rsidR="00B91BC7" w:rsidRDefault="00B91BC7">
      <w:pPr>
        <w:pStyle w:val="CommentText"/>
      </w:pPr>
      <w:r>
        <w:rPr>
          <w:rStyle w:val="CommentReference"/>
        </w:rPr>
        <w:annotationRef/>
      </w:r>
      <w:r>
        <w:t>Can you provide a source (including page number) for these quotations?</w:t>
      </w:r>
    </w:p>
  </w:comment>
  <w:comment w:id="1" w:author="Laura Dosky" w:date="2015-02-02T14:54:00Z" w:initials="LD">
    <w:p w14:paraId="030116F8" w14:textId="77CCCEB3" w:rsidR="00B91BC7" w:rsidRDefault="00B91BC7">
      <w:pPr>
        <w:pStyle w:val="CommentText"/>
      </w:pPr>
      <w:r>
        <w:rPr>
          <w:rStyle w:val="CommentReference"/>
        </w:rPr>
        <w:annotationRef/>
      </w:r>
      <w:r>
        <w:t>This one too, please!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0D1E" w14:textId="77777777" w:rsidR="00B91BC7" w:rsidRDefault="00B91BC7" w:rsidP="007A0D55">
      <w:pPr>
        <w:spacing w:after="0" w:line="240" w:lineRule="auto"/>
      </w:pPr>
      <w:r>
        <w:separator/>
      </w:r>
    </w:p>
  </w:endnote>
  <w:endnote w:type="continuationSeparator" w:id="0">
    <w:p w14:paraId="214F173A" w14:textId="77777777" w:rsidR="00B91BC7" w:rsidRDefault="00B91B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99A5A" w14:textId="77777777" w:rsidR="00B91BC7" w:rsidRDefault="00B91BC7" w:rsidP="007A0D55">
      <w:pPr>
        <w:spacing w:after="0" w:line="240" w:lineRule="auto"/>
      </w:pPr>
      <w:r>
        <w:separator/>
      </w:r>
    </w:p>
  </w:footnote>
  <w:footnote w:type="continuationSeparator" w:id="0">
    <w:p w14:paraId="44DA8391" w14:textId="77777777" w:rsidR="00B91BC7" w:rsidRDefault="00B91B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F50C0" w14:textId="77777777" w:rsidR="00B91BC7" w:rsidRDefault="00B91B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49BFC7" w14:textId="77777777" w:rsidR="00B91BC7" w:rsidRDefault="00B91B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CF4"/>
    <w:rsid w:val="00005226"/>
    <w:rsid w:val="0001524F"/>
    <w:rsid w:val="00032559"/>
    <w:rsid w:val="00052040"/>
    <w:rsid w:val="00085935"/>
    <w:rsid w:val="000B25AE"/>
    <w:rsid w:val="000B55AB"/>
    <w:rsid w:val="000D24DC"/>
    <w:rsid w:val="00101B2E"/>
    <w:rsid w:val="00116FA0"/>
    <w:rsid w:val="0015114C"/>
    <w:rsid w:val="00165E39"/>
    <w:rsid w:val="001A21F3"/>
    <w:rsid w:val="001A2537"/>
    <w:rsid w:val="001A6A06"/>
    <w:rsid w:val="001F4085"/>
    <w:rsid w:val="00210C03"/>
    <w:rsid w:val="002162E2"/>
    <w:rsid w:val="00225C5A"/>
    <w:rsid w:val="00230B10"/>
    <w:rsid w:val="00234353"/>
    <w:rsid w:val="00244BB0"/>
    <w:rsid w:val="002A0A0D"/>
    <w:rsid w:val="002B0B37"/>
    <w:rsid w:val="002F0BFF"/>
    <w:rsid w:val="0030662D"/>
    <w:rsid w:val="003235A7"/>
    <w:rsid w:val="003677B6"/>
    <w:rsid w:val="00386CF4"/>
    <w:rsid w:val="003A21EA"/>
    <w:rsid w:val="003D3579"/>
    <w:rsid w:val="003E2795"/>
    <w:rsid w:val="003F0D73"/>
    <w:rsid w:val="00462DBE"/>
    <w:rsid w:val="00464699"/>
    <w:rsid w:val="0047774C"/>
    <w:rsid w:val="00483379"/>
    <w:rsid w:val="00487BC5"/>
    <w:rsid w:val="00496888"/>
    <w:rsid w:val="004A7476"/>
    <w:rsid w:val="004E5896"/>
    <w:rsid w:val="004F02F8"/>
    <w:rsid w:val="00513EE6"/>
    <w:rsid w:val="00534F8F"/>
    <w:rsid w:val="00586778"/>
    <w:rsid w:val="00590035"/>
    <w:rsid w:val="00593589"/>
    <w:rsid w:val="005B177E"/>
    <w:rsid w:val="005B3921"/>
    <w:rsid w:val="005D7556"/>
    <w:rsid w:val="005F26D7"/>
    <w:rsid w:val="005F5450"/>
    <w:rsid w:val="006D0412"/>
    <w:rsid w:val="007411B9"/>
    <w:rsid w:val="00780D95"/>
    <w:rsid w:val="00780DC7"/>
    <w:rsid w:val="007A0D55"/>
    <w:rsid w:val="007B3377"/>
    <w:rsid w:val="007E5F44"/>
    <w:rsid w:val="00821DE3"/>
    <w:rsid w:val="00846CE1"/>
    <w:rsid w:val="008A5B87"/>
    <w:rsid w:val="00922950"/>
    <w:rsid w:val="00966FD3"/>
    <w:rsid w:val="009A7264"/>
    <w:rsid w:val="009D1606"/>
    <w:rsid w:val="009E18A1"/>
    <w:rsid w:val="009E73D7"/>
    <w:rsid w:val="00A00D93"/>
    <w:rsid w:val="00A03FA2"/>
    <w:rsid w:val="00A27D2C"/>
    <w:rsid w:val="00A76FD9"/>
    <w:rsid w:val="00AB436D"/>
    <w:rsid w:val="00AD2F24"/>
    <w:rsid w:val="00AD4844"/>
    <w:rsid w:val="00B219AE"/>
    <w:rsid w:val="00B33145"/>
    <w:rsid w:val="00B574C9"/>
    <w:rsid w:val="00B6132E"/>
    <w:rsid w:val="00B91BC7"/>
    <w:rsid w:val="00BC39C9"/>
    <w:rsid w:val="00BE5BF7"/>
    <w:rsid w:val="00BF40E1"/>
    <w:rsid w:val="00C27FAB"/>
    <w:rsid w:val="00C358D4"/>
    <w:rsid w:val="00C358F0"/>
    <w:rsid w:val="00C6296B"/>
    <w:rsid w:val="00CC586D"/>
    <w:rsid w:val="00CD2E05"/>
    <w:rsid w:val="00CF1542"/>
    <w:rsid w:val="00CF3EC5"/>
    <w:rsid w:val="00D13432"/>
    <w:rsid w:val="00D55A76"/>
    <w:rsid w:val="00D656DA"/>
    <w:rsid w:val="00D83300"/>
    <w:rsid w:val="00DC6B48"/>
    <w:rsid w:val="00DF01B0"/>
    <w:rsid w:val="00DF4AE9"/>
    <w:rsid w:val="00E85A05"/>
    <w:rsid w:val="00E95829"/>
    <w:rsid w:val="00EA606C"/>
    <w:rsid w:val="00EB0C8C"/>
    <w:rsid w:val="00EB51FD"/>
    <w:rsid w:val="00EB77DB"/>
    <w:rsid w:val="00ED139F"/>
    <w:rsid w:val="00EF74F7"/>
    <w:rsid w:val="00F36937"/>
    <w:rsid w:val="00F60F53"/>
    <w:rsid w:val="00F73883"/>
    <w:rsid w:val="00FA1925"/>
    <w:rsid w:val="00FB11DE"/>
    <w:rsid w:val="00FB589A"/>
    <w:rsid w:val="00FB7317"/>
    <w:rsid w:val="00FF75B9"/>
    <w:rsid w:val="00FF7A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3B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6C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F4"/>
    <w:rPr>
      <w:rFonts w:ascii="Lucida Grande" w:hAnsi="Lucida Grande" w:cs="Lucida Grande"/>
      <w:sz w:val="18"/>
      <w:szCs w:val="18"/>
    </w:rPr>
  </w:style>
  <w:style w:type="paragraph" w:styleId="Bibliography">
    <w:name w:val="Bibliography"/>
    <w:basedOn w:val="Normal"/>
    <w:next w:val="Normal"/>
    <w:uiPriority w:val="37"/>
    <w:unhideWhenUsed/>
    <w:rsid w:val="00386CF4"/>
  </w:style>
  <w:style w:type="character" w:styleId="CommentReference">
    <w:name w:val="annotation reference"/>
    <w:basedOn w:val="DefaultParagraphFont"/>
    <w:uiPriority w:val="99"/>
    <w:semiHidden/>
    <w:rsid w:val="00B91BC7"/>
    <w:rPr>
      <w:sz w:val="18"/>
      <w:szCs w:val="18"/>
    </w:rPr>
  </w:style>
  <w:style w:type="paragraph" w:styleId="CommentText">
    <w:name w:val="annotation text"/>
    <w:basedOn w:val="Normal"/>
    <w:link w:val="CommentTextChar"/>
    <w:uiPriority w:val="99"/>
    <w:semiHidden/>
    <w:rsid w:val="00B91BC7"/>
    <w:pPr>
      <w:spacing w:line="240" w:lineRule="auto"/>
    </w:pPr>
    <w:rPr>
      <w:sz w:val="24"/>
      <w:szCs w:val="24"/>
    </w:rPr>
  </w:style>
  <w:style w:type="character" w:customStyle="1" w:styleId="CommentTextChar">
    <w:name w:val="Comment Text Char"/>
    <w:basedOn w:val="DefaultParagraphFont"/>
    <w:link w:val="CommentText"/>
    <w:uiPriority w:val="99"/>
    <w:semiHidden/>
    <w:rsid w:val="00B91BC7"/>
    <w:rPr>
      <w:sz w:val="24"/>
      <w:szCs w:val="24"/>
    </w:rPr>
  </w:style>
  <w:style w:type="paragraph" w:styleId="CommentSubject">
    <w:name w:val="annotation subject"/>
    <w:basedOn w:val="CommentText"/>
    <w:next w:val="CommentText"/>
    <w:link w:val="CommentSubjectChar"/>
    <w:uiPriority w:val="99"/>
    <w:semiHidden/>
    <w:rsid w:val="00B91BC7"/>
    <w:rPr>
      <w:b/>
      <w:bCs/>
      <w:sz w:val="20"/>
      <w:szCs w:val="20"/>
    </w:rPr>
  </w:style>
  <w:style w:type="character" w:customStyle="1" w:styleId="CommentSubjectChar">
    <w:name w:val="Comment Subject Char"/>
    <w:basedOn w:val="CommentTextChar"/>
    <w:link w:val="CommentSubject"/>
    <w:uiPriority w:val="99"/>
    <w:semiHidden/>
    <w:rsid w:val="00B91BC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6C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F4"/>
    <w:rPr>
      <w:rFonts w:ascii="Lucida Grande" w:hAnsi="Lucida Grande" w:cs="Lucida Grande"/>
      <w:sz w:val="18"/>
      <w:szCs w:val="18"/>
    </w:rPr>
  </w:style>
  <w:style w:type="paragraph" w:styleId="Bibliography">
    <w:name w:val="Bibliography"/>
    <w:basedOn w:val="Normal"/>
    <w:next w:val="Normal"/>
    <w:uiPriority w:val="37"/>
    <w:unhideWhenUsed/>
    <w:rsid w:val="00386CF4"/>
  </w:style>
  <w:style w:type="character" w:styleId="CommentReference">
    <w:name w:val="annotation reference"/>
    <w:basedOn w:val="DefaultParagraphFont"/>
    <w:uiPriority w:val="99"/>
    <w:semiHidden/>
    <w:rsid w:val="00B91BC7"/>
    <w:rPr>
      <w:sz w:val="18"/>
      <w:szCs w:val="18"/>
    </w:rPr>
  </w:style>
  <w:style w:type="paragraph" w:styleId="CommentText">
    <w:name w:val="annotation text"/>
    <w:basedOn w:val="Normal"/>
    <w:link w:val="CommentTextChar"/>
    <w:uiPriority w:val="99"/>
    <w:semiHidden/>
    <w:rsid w:val="00B91BC7"/>
    <w:pPr>
      <w:spacing w:line="240" w:lineRule="auto"/>
    </w:pPr>
    <w:rPr>
      <w:sz w:val="24"/>
      <w:szCs w:val="24"/>
    </w:rPr>
  </w:style>
  <w:style w:type="character" w:customStyle="1" w:styleId="CommentTextChar">
    <w:name w:val="Comment Text Char"/>
    <w:basedOn w:val="DefaultParagraphFont"/>
    <w:link w:val="CommentText"/>
    <w:uiPriority w:val="99"/>
    <w:semiHidden/>
    <w:rsid w:val="00B91BC7"/>
    <w:rPr>
      <w:sz w:val="24"/>
      <w:szCs w:val="24"/>
    </w:rPr>
  </w:style>
  <w:style w:type="paragraph" w:styleId="CommentSubject">
    <w:name w:val="annotation subject"/>
    <w:basedOn w:val="CommentText"/>
    <w:next w:val="CommentText"/>
    <w:link w:val="CommentSubjectChar"/>
    <w:uiPriority w:val="99"/>
    <w:semiHidden/>
    <w:rsid w:val="00B91BC7"/>
    <w:rPr>
      <w:b/>
      <w:bCs/>
      <w:sz w:val="20"/>
      <w:szCs w:val="20"/>
    </w:rPr>
  </w:style>
  <w:style w:type="character" w:customStyle="1" w:styleId="CommentSubjectChar">
    <w:name w:val="Comment Subject Char"/>
    <w:basedOn w:val="CommentTextChar"/>
    <w:link w:val="CommentSubject"/>
    <w:uiPriority w:val="99"/>
    <w:semiHidden/>
    <w:rsid w:val="00B91B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0D8598FAA6384EB3E6DB6CC79A6983"/>
        <w:category>
          <w:name w:val="General"/>
          <w:gallery w:val="placeholder"/>
        </w:category>
        <w:types>
          <w:type w:val="bbPlcHdr"/>
        </w:types>
        <w:behaviors>
          <w:behavior w:val="content"/>
        </w:behaviors>
        <w:guid w:val="{8C614589-6EFF-E647-BB60-5B38F502F66A}"/>
      </w:docPartPr>
      <w:docPartBody>
        <w:p w:rsidR="00302FB5" w:rsidRDefault="00302FB5">
          <w:pPr>
            <w:pStyle w:val="760D8598FAA6384EB3E6DB6CC79A6983"/>
          </w:pPr>
          <w:r w:rsidRPr="00CC586D">
            <w:rPr>
              <w:rStyle w:val="PlaceholderText"/>
              <w:b/>
              <w:color w:val="FFFFFF" w:themeColor="background1"/>
            </w:rPr>
            <w:t>[Salutation]</w:t>
          </w:r>
        </w:p>
      </w:docPartBody>
    </w:docPart>
    <w:docPart>
      <w:docPartPr>
        <w:name w:val="A2F5BDED41F5414D922D8A83D0FEB93D"/>
        <w:category>
          <w:name w:val="General"/>
          <w:gallery w:val="placeholder"/>
        </w:category>
        <w:types>
          <w:type w:val="bbPlcHdr"/>
        </w:types>
        <w:behaviors>
          <w:behavior w:val="content"/>
        </w:behaviors>
        <w:guid w:val="{507AEA17-D1FB-3246-822B-9E51315952FC}"/>
      </w:docPartPr>
      <w:docPartBody>
        <w:p w:rsidR="00302FB5" w:rsidRDefault="00302FB5">
          <w:pPr>
            <w:pStyle w:val="A2F5BDED41F5414D922D8A83D0FEB93D"/>
          </w:pPr>
          <w:r>
            <w:rPr>
              <w:rStyle w:val="PlaceholderText"/>
            </w:rPr>
            <w:t>[Middle name]</w:t>
          </w:r>
        </w:p>
      </w:docPartBody>
    </w:docPart>
    <w:docPart>
      <w:docPartPr>
        <w:name w:val="3FC35AE11B874343A969426DF3E1BBDA"/>
        <w:category>
          <w:name w:val="General"/>
          <w:gallery w:val="placeholder"/>
        </w:category>
        <w:types>
          <w:type w:val="bbPlcHdr"/>
        </w:types>
        <w:behaviors>
          <w:behavior w:val="content"/>
        </w:behaviors>
        <w:guid w:val="{125B3D85-3572-2640-9AC1-9AEF07894767}"/>
      </w:docPartPr>
      <w:docPartBody>
        <w:p w:rsidR="00302FB5" w:rsidRDefault="00302FB5">
          <w:pPr>
            <w:pStyle w:val="3FC35AE11B874343A969426DF3E1BBDA"/>
          </w:pPr>
          <w:r>
            <w:rPr>
              <w:rStyle w:val="PlaceholderText"/>
            </w:rPr>
            <w:t>[Last name]</w:t>
          </w:r>
        </w:p>
      </w:docPartBody>
    </w:docPart>
    <w:docPart>
      <w:docPartPr>
        <w:name w:val="03EF57CEE3797540AE643AB260472650"/>
        <w:category>
          <w:name w:val="General"/>
          <w:gallery w:val="placeholder"/>
        </w:category>
        <w:types>
          <w:type w:val="bbPlcHdr"/>
        </w:types>
        <w:behaviors>
          <w:behavior w:val="content"/>
        </w:behaviors>
        <w:guid w:val="{8832889A-C5F5-9C4D-ADCF-DEDB150A9397}"/>
      </w:docPartPr>
      <w:docPartBody>
        <w:p w:rsidR="00302FB5" w:rsidRDefault="00302FB5">
          <w:pPr>
            <w:pStyle w:val="03EF57CEE3797540AE643AB260472650"/>
          </w:pPr>
          <w:r>
            <w:rPr>
              <w:rStyle w:val="PlaceholderText"/>
            </w:rPr>
            <w:t>[Enter your biography]</w:t>
          </w:r>
        </w:p>
      </w:docPartBody>
    </w:docPart>
    <w:docPart>
      <w:docPartPr>
        <w:name w:val="7BC54F54238BDE4ABB6E32FA02EB5977"/>
        <w:category>
          <w:name w:val="General"/>
          <w:gallery w:val="placeholder"/>
        </w:category>
        <w:types>
          <w:type w:val="bbPlcHdr"/>
        </w:types>
        <w:behaviors>
          <w:behavior w:val="content"/>
        </w:behaviors>
        <w:guid w:val="{DE7A3D97-B709-CA42-8878-D8173859F97B}"/>
      </w:docPartPr>
      <w:docPartBody>
        <w:p w:rsidR="00302FB5" w:rsidRDefault="00302FB5">
          <w:pPr>
            <w:pStyle w:val="7BC54F54238BDE4ABB6E32FA02EB5977"/>
          </w:pPr>
          <w:r>
            <w:rPr>
              <w:rStyle w:val="PlaceholderText"/>
            </w:rPr>
            <w:t>[Enter the institution with which you are affiliated]</w:t>
          </w:r>
        </w:p>
      </w:docPartBody>
    </w:docPart>
    <w:docPart>
      <w:docPartPr>
        <w:name w:val="C746BDD82AC22349ACB32F94A20504F1"/>
        <w:category>
          <w:name w:val="General"/>
          <w:gallery w:val="placeholder"/>
        </w:category>
        <w:types>
          <w:type w:val="bbPlcHdr"/>
        </w:types>
        <w:behaviors>
          <w:behavior w:val="content"/>
        </w:behaviors>
        <w:guid w:val="{171E27D6-786C-4F4D-B86B-02E7ACACC23C}"/>
      </w:docPartPr>
      <w:docPartBody>
        <w:p w:rsidR="00302FB5" w:rsidRDefault="00302FB5">
          <w:pPr>
            <w:pStyle w:val="C746BDD82AC22349ACB32F94A20504F1"/>
          </w:pPr>
          <w:r w:rsidRPr="00EF74F7">
            <w:rPr>
              <w:b/>
              <w:color w:val="808080" w:themeColor="background1" w:themeShade="80"/>
            </w:rPr>
            <w:t>[Enter the headword for your article]</w:t>
          </w:r>
        </w:p>
      </w:docPartBody>
    </w:docPart>
    <w:docPart>
      <w:docPartPr>
        <w:name w:val="CA4C2298A1AA01458BF92B4092163A82"/>
        <w:category>
          <w:name w:val="General"/>
          <w:gallery w:val="placeholder"/>
        </w:category>
        <w:types>
          <w:type w:val="bbPlcHdr"/>
        </w:types>
        <w:behaviors>
          <w:behavior w:val="content"/>
        </w:behaviors>
        <w:guid w:val="{CADCBB6D-60D3-D741-B573-637056C8FA99}"/>
      </w:docPartPr>
      <w:docPartBody>
        <w:p w:rsidR="00302FB5" w:rsidRDefault="00302FB5">
          <w:pPr>
            <w:pStyle w:val="CA4C2298A1AA01458BF92B4092163A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A0C6C9247AC84D8C6083283E4F83EA"/>
        <w:category>
          <w:name w:val="General"/>
          <w:gallery w:val="placeholder"/>
        </w:category>
        <w:types>
          <w:type w:val="bbPlcHdr"/>
        </w:types>
        <w:behaviors>
          <w:behavior w:val="content"/>
        </w:behaviors>
        <w:guid w:val="{87075D05-1977-6A47-AEBF-09503DBD75DC}"/>
      </w:docPartPr>
      <w:docPartBody>
        <w:p w:rsidR="00302FB5" w:rsidRDefault="00302FB5">
          <w:pPr>
            <w:pStyle w:val="7CA0C6C9247AC84D8C6083283E4F83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00E079448E7845BD7916654E474F84"/>
        <w:category>
          <w:name w:val="General"/>
          <w:gallery w:val="placeholder"/>
        </w:category>
        <w:types>
          <w:type w:val="bbPlcHdr"/>
        </w:types>
        <w:behaviors>
          <w:behavior w:val="content"/>
        </w:behaviors>
        <w:guid w:val="{49DFDB69-39E9-BA46-8F72-73F8FEDF5F03}"/>
      </w:docPartPr>
      <w:docPartBody>
        <w:p w:rsidR="00302FB5" w:rsidRDefault="00302FB5">
          <w:pPr>
            <w:pStyle w:val="6200E079448E7845BD7916654E474F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B707D2A020BD4982A797C61CB7F150"/>
        <w:category>
          <w:name w:val="General"/>
          <w:gallery w:val="placeholder"/>
        </w:category>
        <w:types>
          <w:type w:val="bbPlcHdr"/>
        </w:types>
        <w:behaviors>
          <w:behavior w:val="content"/>
        </w:behaviors>
        <w:guid w:val="{E71B2E91-D00E-7340-84AC-CAFE2C922B7B}"/>
      </w:docPartPr>
      <w:docPartBody>
        <w:p w:rsidR="002F0B79" w:rsidRDefault="00302FB5" w:rsidP="00302FB5">
          <w:pPr>
            <w:pStyle w:val="59B707D2A020BD4982A797C61CB7F15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B5"/>
    <w:rsid w:val="002F0B79"/>
    <w:rsid w:val="00302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B5"/>
    <w:rPr>
      <w:color w:val="808080"/>
    </w:rPr>
  </w:style>
  <w:style w:type="paragraph" w:customStyle="1" w:styleId="760D8598FAA6384EB3E6DB6CC79A6983">
    <w:name w:val="760D8598FAA6384EB3E6DB6CC79A6983"/>
  </w:style>
  <w:style w:type="paragraph" w:customStyle="1" w:styleId="1AF41D10814C4848A47C970ECBA60ECB">
    <w:name w:val="1AF41D10814C4848A47C970ECBA60ECB"/>
  </w:style>
  <w:style w:type="paragraph" w:customStyle="1" w:styleId="A2F5BDED41F5414D922D8A83D0FEB93D">
    <w:name w:val="A2F5BDED41F5414D922D8A83D0FEB93D"/>
  </w:style>
  <w:style w:type="paragraph" w:customStyle="1" w:styleId="3FC35AE11B874343A969426DF3E1BBDA">
    <w:name w:val="3FC35AE11B874343A969426DF3E1BBDA"/>
  </w:style>
  <w:style w:type="paragraph" w:customStyle="1" w:styleId="03EF57CEE3797540AE643AB260472650">
    <w:name w:val="03EF57CEE3797540AE643AB260472650"/>
  </w:style>
  <w:style w:type="paragraph" w:customStyle="1" w:styleId="7BC54F54238BDE4ABB6E32FA02EB5977">
    <w:name w:val="7BC54F54238BDE4ABB6E32FA02EB5977"/>
  </w:style>
  <w:style w:type="paragraph" w:customStyle="1" w:styleId="C746BDD82AC22349ACB32F94A20504F1">
    <w:name w:val="C746BDD82AC22349ACB32F94A20504F1"/>
  </w:style>
  <w:style w:type="paragraph" w:customStyle="1" w:styleId="CA4C2298A1AA01458BF92B4092163A82">
    <w:name w:val="CA4C2298A1AA01458BF92B4092163A82"/>
  </w:style>
  <w:style w:type="paragraph" w:customStyle="1" w:styleId="7CA0C6C9247AC84D8C6083283E4F83EA">
    <w:name w:val="7CA0C6C9247AC84D8C6083283E4F83EA"/>
  </w:style>
  <w:style w:type="paragraph" w:customStyle="1" w:styleId="6200E079448E7845BD7916654E474F84">
    <w:name w:val="6200E079448E7845BD7916654E474F84"/>
  </w:style>
  <w:style w:type="paragraph" w:customStyle="1" w:styleId="0EA01C2EBBBF7C46BC3DCC0C18883A2C">
    <w:name w:val="0EA01C2EBBBF7C46BC3DCC0C18883A2C"/>
  </w:style>
  <w:style w:type="paragraph" w:customStyle="1" w:styleId="59B707D2A020BD4982A797C61CB7F150">
    <w:name w:val="59B707D2A020BD4982A797C61CB7F150"/>
    <w:rsid w:val="00302F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B5"/>
    <w:rPr>
      <w:color w:val="808080"/>
    </w:rPr>
  </w:style>
  <w:style w:type="paragraph" w:customStyle="1" w:styleId="760D8598FAA6384EB3E6DB6CC79A6983">
    <w:name w:val="760D8598FAA6384EB3E6DB6CC79A6983"/>
  </w:style>
  <w:style w:type="paragraph" w:customStyle="1" w:styleId="1AF41D10814C4848A47C970ECBA60ECB">
    <w:name w:val="1AF41D10814C4848A47C970ECBA60ECB"/>
  </w:style>
  <w:style w:type="paragraph" w:customStyle="1" w:styleId="A2F5BDED41F5414D922D8A83D0FEB93D">
    <w:name w:val="A2F5BDED41F5414D922D8A83D0FEB93D"/>
  </w:style>
  <w:style w:type="paragraph" w:customStyle="1" w:styleId="3FC35AE11B874343A969426DF3E1BBDA">
    <w:name w:val="3FC35AE11B874343A969426DF3E1BBDA"/>
  </w:style>
  <w:style w:type="paragraph" w:customStyle="1" w:styleId="03EF57CEE3797540AE643AB260472650">
    <w:name w:val="03EF57CEE3797540AE643AB260472650"/>
  </w:style>
  <w:style w:type="paragraph" w:customStyle="1" w:styleId="7BC54F54238BDE4ABB6E32FA02EB5977">
    <w:name w:val="7BC54F54238BDE4ABB6E32FA02EB5977"/>
  </w:style>
  <w:style w:type="paragraph" w:customStyle="1" w:styleId="C746BDD82AC22349ACB32F94A20504F1">
    <w:name w:val="C746BDD82AC22349ACB32F94A20504F1"/>
  </w:style>
  <w:style w:type="paragraph" w:customStyle="1" w:styleId="CA4C2298A1AA01458BF92B4092163A82">
    <w:name w:val="CA4C2298A1AA01458BF92B4092163A82"/>
  </w:style>
  <w:style w:type="paragraph" w:customStyle="1" w:styleId="7CA0C6C9247AC84D8C6083283E4F83EA">
    <w:name w:val="7CA0C6C9247AC84D8C6083283E4F83EA"/>
  </w:style>
  <w:style w:type="paragraph" w:customStyle="1" w:styleId="6200E079448E7845BD7916654E474F84">
    <w:name w:val="6200E079448E7845BD7916654E474F84"/>
  </w:style>
  <w:style w:type="paragraph" w:customStyle="1" w:styleId="0EA01C2EBBBF7C46BC3DCC0C18883A2C">
    <w:name w:val="0EA01C2EBBBF7C46BC3DCC0C18883A2C"/>
  </w:style>
  <w:style w:type="paragraph" w:customStyle="1" w:styleId="59B707D2A020BD4982A797C61CB7F150">
    <w:name w:val="59B707D2A020BD4982A797C61CB7F150"/>
    <w:rsid w:val="00302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Sha111</b:Tag>
    <b:SourceType>Book</b:SourceType>
    <b:Guid>{A488E6E8-B073-834A-8D45-ECF44BA334E1}</b:Guid>
    <b:Author>
      <b:Author>
        <b:NameList>
          <b:Person>
            <b:Last>Shaw</b:Last>
            <b:First>Wendy</b:First>
            <b:Middle>M. K.</b:Middle>
          </b:Person>
        </b:NameList>
      </b:Author>
    </b:Author>
    <b:Title>Ottoman Painting: Reflections of Western Art in the Ottoman Empire</b:Title>
    <b:Year>2011</b:Year>
    <b:City>London</b:City>
    <b:Publisher>I.B. Tauris</b:Publisher>
    <b:RefOrder>1</b:RefOrder>
  </b:Source>
</b:Sources>
</file>

<file path=customXml/itemProps1.xml><?xml version="1.0" encoding="utf-8"?>
<ds:datastoreItem xmlns:ds="http://schemas.openxmlformats.org/officeDocument/2006/customXml" ds:itemID="{F233F5AA-95FC-3544-8103-F63004E8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1180</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23</cp:revision>
  <dcterms:created xsi:type="dcterms:W3CDTF">2015-01-23T03:56:00Z</dcterms:created>
  <dcterms:modified xsi:type="dcterms:W3CDTF">2015-02-02T20:11:00Z</dcterms:modified>
</cp:coreProperties>
</file>