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03D4953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8697478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684A3CB0CA4BF4384794AEEFD84513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50A5E19B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0AA1285C7C73C04E8CA534974711B6E2"/>
            </w:placeholder>
            <w:text/>
          </w:sdtPr>
          <w:sdtContent>
            <w:tc>
              <w:tcPr>
                <w:tcW w:w="2073" w:type="dxa"/>
              </w:tcPr>
              <w:p w14:paraId="06CCE081" w14:textId="77777777" w:rsidR="00B574C9" w:rsidRDefault="00B87686" w:rsidP="00B87686">
                <w:r w:rsidRPr="00605963">
                  <w:t>Bruce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F9E99825907E54CAF7FF5EC9460B0BA"/>
            </w:placeholder>
            <w:showingPlcHdr/>
            <w:text/>
          </w:sdtPr>
          <w:sdtContent>
            <w:tc>
              <w:tcPr>
                <w:tcW w:w="2551" w:type="dxa"/>
              </w:tcPr>
              <w:p w14:paraId="7CCD59F3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A28A03376AA394188EB1561BDE0C29D"/>
            </w:placeholder>
            <w:text/>
          </w:sdtPr>
          <w:sdtContent>
            <w:tc>
              <w:tcPr>
                <w:tcW w:w="2642" w:type="dxa"/>
              </w:tcPr>
              <w:p w14:paraId="6D00BC1B" w14:textId="77777777" w:rsidR="00B574C9" w:rsidRDefault="00B87686" w:rsidP="00B87686">
                <w:r>
                  <w:t>Elder</w:t>
                </w:r>
              </w:p>
            </w:tc>
          </w:sdtContent>
        </w:sdt>
      </w:tr>
      <w:tr w:rsidR="00B574C9" w14:paraId="6A744DC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A32D62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5AD548D90732941A1FBC9BE65C6C327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6B4FAB87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1AB9F0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D9CA1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21349A36B384274B9FCE9FC8A94F1AE3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602B215C" w14:textId="77777777" w:rsidR="00B574C9" w:rsidRDefault="00B87686" w:rsidP="00B87686">
                <w:r>
                  <w:t>Ryerson University</w:t>
                </w:r>
              </w:p>
            </w:tc>
          </w:sdtContent>
        </w:sdt>
      </w:tr>
    </w:tbl>
    <w:p w14:paraId="6001FE14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A357168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77D3A61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3AEF8F0" w14:textId="77777777" w:rsidTr="003F0D73">
        <w:sdt>
          <w:sdtPr>
            <w:alias w:val="Article headword"/>
            <w:tag w:val="articleHeadword"/>
            <w:id w:val="-361440020"/>
            <w:placeholder>
              <w:docPart w:val="B74FCB3DCB8B2C4FB299097340C764C1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F4C7846" w14:textId="15251216" w:rsidR="003F0D73" w:rsidRPr="00FB589A" w:rsidRDefault="00B87686" w:rsidP="00B87686">
                <w:pPr>
                  <w:rPr>
                    <w:b/>
                  </w:rPr>
                </w:pPr>
                <w:proofErr w:type="spellStart"/>
                <w:r w:rsidRPr="00A432EB">
                  <w:t>Worringer</w:t>
                </w:r>
                <w:proofErr w:type="spellEnd"/>
                <w:r w:rsidRPr="00A432EB">
                  <w:t xml:space="preserve">, Wilhelm </w:t>
                </w:r>
                <w:r w:rsidR="00A432EB">
                  <w:t>(1881-1965)</w:t>
                </w:r>
              </w:p>
            </w:tc>
          </w:sdtContent>
        </w:sdt>
      </w:tr>
      <w:tr w:rsidR="00464699" w14:paraId="5FCAB6F2" w14:textId="77777777" w:rsidTr="004F0023">
        <w:sdt>
          <w:sdtPr>
            <w:alias w:val="Variant headwords"/>
            <w:tag w:val="variantHeadwords"/>
            <w:id w:val="173464402"/>
            <w:placeholder>
              <w:docPart w:val="C567304AABCAEE448D1B9E8AD46755A6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A90CB0E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E96EFA1" w14:textId="77777777" w:rsidTr="003F0D73">
        <w:sdt>
          <w:sdtPr>
            <w:alias w:val="Abstract"/>
            <w:tag w:val="abstract"/>
            <w:id w:val="-635871867"/>
            <w:placeholder>
              <w:docPart w:val="D24265BE6C966F4A8823B742C098BC46"/>
            </w:placeholder>
          </w:sdtPr>
          <w:sdtContent>
            <w:sdt>
              <w:sdtPr>
                <w:alias w:val="Article text"/>
                <w:tag w:val="articleText"/>
                <w:id w:val="1907884435"/>
                <w:placeholder>
                  <w:docPart w:val="2D6054DF89FA9A4CB3FDC1926D88BEA5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7ED93A1A" w14:textId="7C017A23" w:rsidR="00E85A05" w:rsidRDefault="009F40DB" w:rsidP="009F40DB">
                    <w:sdt>
                      <w:sdtPr>
                        <w:alias w:val="Abstract"/>
                        <w:tag w:val="abstract"/>
                        <w:id w:val="-1351716637"/>
                        <w:placeholder>
                          <w:docPart w:val="4FC4BA92757B8846B088B0621B789DC7"/>
                        </w:placeholder>
                      </w:sdtPr>
                      <w:sdtContent>
                        <w:r w:rsidRPr="00B87686">
                          <w:t xml:space="preserve">Wilhelm </w:t>
                        </w:r>
                        <w:proofErr w:type="spellStart"/>
                        <w:r w:rsidRPr="00B87686">
                          <w:t>Worringer</w:t>
                        </w:r>
                        <w:proofErr w:type="spellEnd"/>
                        <w:r w:rsidRPr="00B87686">
                          <w:t xml:space="preserve"> was an art historian and art theorist whose writings had enormously wide-ranging influence. His dissertation for the University of Bern, </w:t>
                        </w:r>
                        <w:proofErr w:type="spellStart"/>
                        <w:r w:rsidRPr="00B87686">
                          <w:rPr>
                            <w:i/>
                          </w:rPr>
                          <w:t>Abstraktion</w:t>
                        </w:r>
                        <w:proofErr w:type="spellEnd"/>
                        <w:r w:rsidRPr="00B87686">
                          <w:rPr>
                            <w:i/>
                          </w:rPr>
                          <w:t xml:space="preserve"> und </w:t>
                        </w:r>
                        <w:proofErr w:type="spellStart"/>
                        <w:r w:rsidRPr="00B87686">
                          <w:rPr>
                            <w:i/>
                          </w:rPr>
                          <w:t>Einfühlung</w:t>
                        </w:r>
                        <w:proofErr w:type="spellEnd"/>
                        <w:r w:rsidRPr="00B87686">
                          <w:rPr>
                            <w:i/>
                          </w:rPr>
                          <w:t xml:space="preserve">: </w:t>
                        </w:r>
                        <w:proofErr w:type="spellStart"/>
                        <w:r w:rsidRPr="00B87686">
                          <w:rPr>
                            <w:i/>
                          </w:rPr>
                          <w:t>ein</w:t>
                        </w:r>
                        <w:proofErr w:type="spellEnd"/>
                        <w:r w:rsidRPr="00B87686">
                          <w:rPr>
                            <w:i/>
                          </w:rPr>
                          <w:t xml:space="preserve"> </w:t>
                        </w:r>
                        <w:proofErr w:type="spellStart"/>
                        <w:r w:rsidRPr="00B87686">
                          <w:rPr>
                            <w:i/>
                          </w:rPr>
                          <w:t>Beitrag</w:t>
                        </w:r>
                        <w:proofErr w:type="spellEnd"/>
                        <w:r w:rsidRPr="00B87686">
                          <w:rPr>
                            <w:i/>
                          </w:rPr>
                          <w:t xml:space="preserve"> </w:t>
                        </w:r>
                        <w:proofErr w:type="spellStart"/>
                        <w:r w:rsidRPr="00B87686">
                          <w:rPr>
                            <w:i/>
                          </w:rPr>
                          <w:t>zur</w:t>
                        </w:r>
                        <w:proofErr w:type="spellEnd"/>
                        <w:r w:rsidRPr="00B87686">
                          <w:rPr>
                            <w:i/>
                          </w:rPr>
                          <w:t xml:space="preserve"> </w:t>
                        </w:r>
                        <w:proofErr w:type="spellStart"/>
                        <w:r w:rsidRPr="00B87686">
                          <w:rPr>
                            <w:i/>
                          </w:rPr>
                          <w:t>Stilpsychologie</w:t>
                        </w:r>
                        <w:proofErr w:type="spellEnd"/>
                        <w:r w:rsidRPr="00B87686">
                          <w:t xml:space="preserve"> </w:t>
                        </w:r>
                        <w:r>
                          <w:t>[</w:t>
                        </w:r>
                        <w:r w:rsidRPr="00B87686">
                          <w:rPr>
                            <w:i/>
                          </w:rPr>
                          <w:t>Abstraction and Empathy: Essays in the Psychology of Style</w:t>
                        </w:r>
                        <w:r>
                          <w:t>]</w:t>
                        </w:r>
                        <w:r w:rsidRPr="00B87686">
                          <w:t xml:space="preserve"> (1907, trade edition 1908</w:t>
                        </w:r>
                        <w:r>
                          <w:t>)</w:t>
                        </w:r>
                        <w:proofErr w:type="gramStart"/>
                        <w:r w:rsidRPr="00B87686">
                          <w:t>;</w:t>
                        </w:r>
                        <w:proofErr w:type="gramEnd"/>
                        <w:r w:rsidRPr="00B87686">
                          <w:t xml:space="preserve"> was widely read and </w:t>
                        </w:r>
                        <w:r>
                          <w:t>had significant influence on</w:t>
                        </w:r>
                        <w:r w:rsidRPr="00B87686">
                          <w:t xml:space="preserve"> Ge</w:t>
                        </w:r>
                        <w:r>
                          <w:t>rman expressionism</w:t>
                        </w:r>
                        <w:r w:rsidRPr="00B87686">
                          <w:t>.</w:t>
                        </w:r>
                      </w:sdtContent>
                    </w:sdt>
                    <w:r>
                      <w:t xml:space="preserve"> </w:t>
                    </w:r>
                    <w:r w:rsidRPr="00B87686">
                      <w:t>The book’s title suggests the deep i</w:t>
                    </w:r>
                    <w:r>
                      <w:t>mpact</w:t>
                    </w:r>
                    <w:r w:rsidRPr="00B87686">
                      <w:t xml:space="preserve"> that the aesthetic </w:t>
                    </w:r>
                    <w:r>
                      <w:t xml:space="preserve">theories of Theodor </w:t>
                    </w:r>
                    <w:proofErr w:type="spellStart"/>
                    <w:r>
                      <w:t>Lipps</w:t>
                    </w:r>
                    <w:proofErr w:type="spellEnd"/>
                    <w:r>
                      <w:t xml:space="preserve"> (1851-</w:t>
                    </w:r>
                    <w:r w:rsidRPr="00B87686">
                      <w:t xml:space="preserve">1914) had on its genesis, for </w:t>
                    </w:r>
                    <w:proofErr w:type="spellStart"/>
                    <w:r w:rsidRPr="00B87686">
                      <w:t>Lipps</w:t>
                    </w:r>
                    <w:proofErr w:type="spellEnd"/>
                    <w:r w:rsidRPr="00B87686">
                      <w:t xml:space="preserve"> produced the first scienti</w:t>
                    </w:r>
                    <w:r>
                      <w:t xml:space="preserve">fic theory of </w:t>
                    </w:r>
                    <w:proofErr w:type="spellStart"/>
                    <w:r>
                      <w:t>Einfühlung</w:t>
                    </w:r>
                    <w:proofErr w:type="spellEnd"/>
                    <w:r>
                      <w:t xml:space="preserve">. </w:t>
                    </w:r>
                    <w:proofErr w:type="spellStart"/>
                    <w:r>
                      <w:t>Lipps</w:t>
                    </w:r>
                    <w:proofErr w:type="spellEnd"/>
                    <w:r w:rsidRPr="00B87686">
                      <w:t xml:space="preserve"> led him to </w:t>
                    </w:r>
                    <w:r>
                      <w:t>believe</w:t>
                    </w:r>
                    <w:r w:rsidRPr="00B87686">
                      <w:t xml:space="preserve"> that</w:t>
                    </w:r>
                    <w:r>
                      <w:t>,</w:t>
                    </w:r>
                    <w:r w:rsidRPr="00B87686">
                      <w:t xml:space="preserve"> through artworks</w:t>
                    </w:r>
                    <w:r>
                      <w:t>,</w:t>
                    </w:r>
                    <w:r w:rsidRPr="00B87686">
                      <w:t xml:space="preserve"> we can experience artists’ spiritual</w:t>
                    </w:r>
                    <w:r>
                      <w:t xml:space="preserve"> states. From </w:t>
                    </w:r>
                    <w:proofErr w:type="spellStart"/>
                    <w:r>
                      <w:t>Alois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Riegl</w:t>
                    </w:r>
                    <w:proofErr w:type="spellEnd"/>
                    <w:r>
                      <w:t xml:space="preserve"> (1858-</w:t>
                    </w:r>
                    <w:r w:rsidRPr="00B87686">
                      <w:t xml:space="preserve">1905), he adopted the idea that mimetic content counts for less than stylized form, which reflects an urge to form he termed </w:t>
                    </w:r>
                    <w:proofErr w:type="spellStart"/>
                    <w:r w:rsidRPr="00122433">
                      <w:rPr>
                        <w:i/>
                      </w:rPr>
                      <w:t>Kunstwollen</w:t>
                    </w:r>
                    <w:proofErr w:type="spellEnd"/>
                    <w:r w:rsidRPr="00B87686">
                      <w:t xml:space="preserve">. </w:t>
                    </w:r>
                    <w:proofErr w:type="spellStart"/>
                    <w:r w:rsidRPr="00B87686">
                      <w:t>Worringer</w:t>
                    </w:r>
                    <w:proofErr w:type="spellEnd"/>
                    <w:r w:rsidRPr="00B87686">
                      <w:t xml:space="preserve"> maintained that commitment to realistic representation demonstrated a confidence in the material world, while interest in abstraction reveals insecurity about the material world and a greater trust in spirituality. He extended these ideas in </w:t>
                    </w:r>
                    <w:proofErr w:type="spellStart"/>
                    <w:r w:rsidRPr="00122433">
                      <w:rPr>
                        <w:i/>
                      </w:rPr>
                      <w:t>Formprobleme</w:t>
                    </w:r>
                    <w:proofErr w:type="spellEnd"/>
                    <w:r w:rsidRPr="00122433">
                      <w:rPr>
                        <w:i/>
                      </w:rPr>
                      <w:t xml:space="preserve"> der </w:t>
                    </w:r>
                    <w:proofErr w:type="spellStart"/>
                    <w:r w:rsidRPr="00122433">
                      <w:rPr>
                        <w:i/>
                      </w:rPr>
                      <w:t>Gotik</w:t>
                    </w:r>
                    <w:proofErr w:type="spellEnd"/>
                    <w:r w:rsidRPr="00B87686">
                      <w:t xml:space="preserve"> (1911), </w:t>
                    </w:r>
                    <w:proofErr w:type="spellStart"/>
                    <w:r w:rsidRPr="00122433">
                      <w:rPr>
                        <w:i/>
                      </w:rPr>
                      <w:t>Ägyptische</w:t>
                    </w:r>
                    <w:proofErr w:type="spellEnd"/>
                    <w:r w:rsidRPr="00122433">
                      <w:rPr>
                        <w:i/>
                      </w:rPr>
                      <w:t xml:space="preserve"> </w:t>
                    </w:r>
                    <w:proofErr w:type="spellStart"/>
                    <w:r w:rsidRPr="00122433">
                      <w:rPr>
                        <w:i/>
                      </w:rPr>
                      <w:t>Kunst</w:t>
                    </w:r>
                    <w:proofErr w:type="spellEnd"/>
                    <w:r w:rsidRPr="00B87686">
                      <w:t xml:space="preserve"> </w:t>
                    </w:r>
                    <w:r>
                      <w:t>[</w:t>
                    </w:r>
                    <w:r w:rsidRPr="00CD1432">
                      <w:rPr>
                        <w:i/>
                      </w:rPr>
                      <w:t>Egyptian Art</w:t>
                    </w:r>
                    <w:r>
                      <w:t>]</w:t>
                    </w:r>
                    <w:r w:rsidRPr="00B87686">
                      <w:t xml:space="preserve"> (1927;) and </w:t>
                    </w:r>
                    <w:proofErr w:type="spellStart"/>
                    <w:r w:rsidRPr="00122433">
                      <w:rPr>
                        <w:i/>
                      </w:rPr>
                      <w:t>Griechentum</w:t>
                    </w:r>
                    <w:proofErr w:type="spellEnd"/>
                    <w:r w:rsidRPr="00122433">
                      <w:rPr>
                        <w:i/>
                      </w:rPr>
                      <w:t xml:space="preserve"> und </w:t>
                    </w:r>
                    <w:proofErr w:type="spellStart"/>
                    <w:r w:rsidRPr="00122433">
                      <w:rPr>
                        <w:i/>
                      </w:rPr>
                      <w:t>Gotik</w:t>
                    </w:r>
                    <w:proofErr w:type="spellEnd"/>
                    <w:r w:rsidRPr="00B87686">
                      <w:t xml:space="preserve"> (1928). T. E. Hulme (1883-1917) embraced many of </w:t>
                    </w:r>
                    <w:proofErr w:type="spellStart"/>
                    <w:r w:rsidRPr="00B87686">
                      <w:t>Worringer’s</w:t>
                    </w:r>
                    <w:proofErr w:type="spellEnd"/>
                    <w:r w:rsidRPr="00B87686">
                      <w:t xml:space="preserve"> ideas (</w:t>
                    </w:r>
                    <w:r>
                      <w:t>including that of will to form)</w:t>
                    </w:r>
                    <w:r w:rsidRPr="00B87686">
                      <w:t xml:space="preserve"> and</w:t>
                    </w:r>
                    <w:r>
                      <w:t>,</w:t>
                    </w:r>
                    <w:r w:rsidRPr="00B87686">
                      <w:t xml:space="preserve"> through </w:t>
                    </w:r>
                    <w:proofErr w:type="gramStart"/>
                    <w:r w:rsidRPr="00B87686">
                      <w:t>Hulme,</w:t>
                    </w:r>
                    <w:proofErr w:type="gramEnd"/>
                    <w:r w:rsidRPr="00B87686">
                      <w:t xml:space="preserve"> these ideas influenced early English modernism, especially </w:t>
                    </w:r>
                    <w:proofErr w:type="spellStart"/>
                    <w:r w:rsidRPr="00B87686">
                      <w:t>Vorticism</w:t>
                    </w:r>
                    <w:proofErr w:type="spellEnd"/>
                    <w:r w:rsidRPr="00B87686">
                      <w:t>.</w:t>
                    </w:r>
                  </w:p>
                </w:tc>
              </w:sdtContent>
            </w:sdt>
          </w:sdtContent>
        </w:sdt>
      </w:tr>
      <w:tr w:rsidR="003F0D73" w14:paraId="75891C04" w14:textId="77777777" w:rsidTr="003F0D73">
        <w:sdt>
          <w:sdtPr>
            <w:alias w:val="Article text"/>
            <w:tag w:val="articleText"/>
            <w:id w:val="634067588"/>
            <w:placeholder>
              <w:docPart w:val="787203C23BA01747BFDD6A60F5B792FF"/>
            </w:placeholder>
          </w:sdtPr>
          <w:sdtContent>
            <w:sdt>
              <w:sdtPr>
                <w:alias w:val="Article text"/>
                <w:tag w:val="articleText"/>
                <w:id w:val="-299777104"/>
                <w:placeholder>
                  <w:docPart w:val="99108A140C4A374299C7981EB66BB150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0A9E49FD" w14:textId="445661A4" w:rsidR="003F0D73" w:rsidRDefault="009F40DB" w:rsidP="009F40DB">
                    <w:sdt>
                      <w:sdtPr>
                        <w:alias w:val="Abstract"/>
                        <w:tag w:val="abstract"/>
                        <w:id w:val="-1783107258"/>
                        <w:placeholder>
                          <w:docPart w:val="64706C143977A74DB939A4FC44D05105"/>
                        </w:placeholder>
                      </w:sdtPr>
                      <w:sdtContent>
                        <w:r w:rsidRPr="00B87686">
                          <w:t xml:space="preserve">Wilhelm </w:t>
                        </w:r>
                        <w:proofErr w:type="spellStart"/>
                        <w:r w:rsidRPr="00B87686">
                          <w:t>Worringer</w:t>
                        </w:r>
                        <w:proofErr w:type="spellEnd"/>
                        <w:r w:rsidRPr="00B87686">
                          <w:t xml:space="preserve"> was an art historian and art theorist whose writings had enormously wide-ranging influence. His dissertation for the University of Bern, </w:t>
                        </w:r>
                        <w:proofErr w:type="spellStart"/>
                        <w:r w:rsidRPr="00B87686">
                          <w:rPr>
                            <w:i/>
                          </w:rPr>
                          <w:t>Abstraktion</w:t>
                        </w:r>
                        <w:proofErr w:type="spellEnd"/>
                        <w:r w:rsidRPr="00B87686">
                          <w:rPr>
                            <w:i/>
                          </w:rPr>
                          <w:t xml:space="preserve"> und </w:t>
                        </w:r>
                        <w:proofErr w:type="spellStart"/>
                        <w:r w:rsidRPr="00B87686">
                          <w:rPr>
                            <w:i/>
                          </w:rPr>
                          <w:t>Einfühlung</w:t>
                        </w:r>
                        <w:proofErr w:type="spellEnd"/>
                        <w:r w:rsidRPr="00B87686">
                          <w:rPr>
                            <w:i/>
                          </w:rPr>
                          <w:t xml:space="preserve">: </w:t>
                        </w:r>
                        <w:proofErr w:type="spellStart"/>
                        <w:r w:rsidRPr="00B87686">
                          <w:rPr>
                            <w:i/>
                          </w:rPr>
                          <w:t>ein</w:t>
                        </w:r>
                        <w:proofErr w:type="spellEnd"/>
                        <w:r w:rsidRPr="00B87686">
                          <w:rPr>
                            <w:i/>
                          </w:rPr>
                          <w:t xml:space="preserve"> </w:t>
                        </w:r>
                        <w:proofErr w:type="spellStart"/>
                        <w:r w:rsidRPr="00B87686">
                          <w:rPr>
                            <w:i/>
                          </w:rPr>
                          <w:t>Beitrag</w:t>
                        </w:r>
                        <w:proofErr w:type="spellEnd"/>
                        <w:r w:rsidRPr="00B87686">
                          <w:rPr>
                            <w:i/>
                          </w:rPr>
                          <w:t xml:space="preserve"> </w:t>
                        </w:r>
                        <w:proofErr w:type="spellStart"/>
                        <w:r w:rsidRPr="00B87686">
                          <w:rPr>
                            <w:i/>
                          </w:rPr>
                          <w:t>zur</w:t>
                        </w:r>
                        <w:proofErr w:type="spellEnd"/>
                        <w:r w:rsidRPr="00B87686">
                          <w:rPr>
                            <w:i/>
                          </w:rPr>
                          <w:t xml:space="preserve"> </w:t>
                        </w:r>
                        <w:proofErr w:type="spellStart"/>
                        <w:r w:rsidRPr="00B87686">
                          <w:rPr>
                            <w:i/>
                          </w:rPr>
                          <w:t>Stilpsychologie</w:t>
                        </w:r>
                        <w:proofErr w:type="spellEnd"/>
                        <w:r w:rsidRPr="00B87686">
                          <w:t xml:space="preserve"> </w:t>
                        </w:r>
                        <w:r>
                          <w:t>[</w:t>
                        </w:r>
                        <w:r w:rsidRPr="00B87686">
                          <w:rPr>
                            <w:i/>
                          </w:rPr>
                          <w:t>Abstraction and Empathy: Essays in the Psychology of Style</w:t>
                        </w:r>
                        <w:r>
                          <w:t>]</w:t>
                        </w:r>
                        <w:r w:rsidRPr="00B87686">
                          <w:t xml:space="preserve"> (1907, trade edition 1908</w:t>
                        </w:r>
                        <w:r>
                          <w:t>)</w:t>
                        </w:r>
                        <w:proofErr w:type="gramStart"/>
                        <w:r w:rsidRPr="00B87686">
                          <w:t>;</w:t>
                        </w:r>
                        <w:proofErr w:type="gramEnd"/>
                        <w:r w:rsidRPr="00B87686">
                          <w:t xml:space="preserve"> was widely read and </w:t>
                        </w:r>
                        <w:r>
                          <w:t>had significant influence on</w:t>
                        </w:r>
                        <w:r w:rsidRPr="00B87686">
                          <w:t xml:space="preserve"> Ge</w:t>
                        </w:r>
                        <w:r>
                          <w:t>rman expressionism</w:t>
                        </w:r>
                        <w:r w:rsidRPr="00B87686">
                          <w:t>.</w:t>
                        </w:r>
                      </w:sdtContent>
                    </w:sdt>
                    <w:r>
                      <w:t xml:space="preserve"> </w:t>
                    </w:r>
                    <w:r w:rsidRPr="00B87686">
                      <w:t>The book’s title suggests the deep i</w:t>
                    </w:r>
                    <w:r>
                      <w:t>mpact</w:t>
                    </w:r>
                    <w:r w:rsidRPr="00B87686">
                      <w:t xml:space="preserve"> that the aesthetic </w:t>
                    </w:r>
                    <w:r>
                      <w:t xml:space="preserve">theories of Theodor </w:t>
                    </w:r>
                    <w:proofErr w:type="spellStart"/>
                    <w:r>
                      <w:t>Lipps</w:t>
                    </w:r>
                    <w:proofErr w:type="spellEnd"/>
                    <w:r>
                      <w:t xml:space="preserve"> (1851-</w:t>
                    </w:r>
                    <w:r w:rsidRPr="00B87686">
                      <w:t xml:space="preserve">1914) had on its genesis, for </w:t>
                    </w:r>
                    <w:proofErr w:type="spellStart"/>
                    <w:r w:rsidRPr="00B87686">
                      <w:t>Lipps</w:t>
                    </w:r>
                    <w:proofErr w:type="spellEnd"/>
                    <w:r w:rsidRPr="00B87686">
                      <w:t xml:space="preserve"> produced the first scienti</w:t>
                    </w:r>
                    <w:r>
                      <w:t xml:space="preserve">fic theory of </w:t>
                    </w:r>
                    <w:proofErr w:type="spellStart"/>
                    <w:r>
                      <w:t>Einfühlung</w:t>
                    </w:r>
                    <w:proofErr w:type="spellEnd"/>
                    <w:r>
                      <w:t xml:space="preserve">. </w:t>
                    </w:r>
                    <w:proofErr w:type="spellStart"/>
                    <w:r>
                      <w:t>Lipps</w:t>
                    </w:r>
                    <w:proofErr w:type="spellEnd"/>
                    <w:r w:rsidRPr="00B87686">
                      <w:t xml:space="preserve"> led him to </w:t>
                    </w:r>
                    <w:r>
                      <w:t>believe</w:t>
                    </w:r>
                    <w:r w:rsidRPr="00B87686">
                      <w:t xml:space="preserve"> that</w:t>
                    </w:r>
                    <w:r>
                      <w:t>,</w:t>
                    </w:r>
                    <w:r w:rsidRPr="00B87686">
                      <w:t xml:space="preserve"> through artworks</w:t>
                    </w:r>
                    <w:r>
                      <w:t>,</w:t>
                    </w:r>
                    <w:r w:rsidRPr="00B87686">
                      <w:t xml:space="preserve"> we can experience artists’ spiritual</w:t>
                    </w:r>
                    <w:r>
                      <w:t xml:space="preserve"> states. From </w:t>
                    </w:r>
                    <w:proofErr w:type="spellStart"/>
                    <w:r>
                      <w:t>Alois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Riegl</w:t>
                    </w:r>
                    <w:proofErr w:type="spellEnd"/>
                    <w:r>
                      <w:t xml:space="preserve"> (1858-</w:t>
                    </w:r>
                    <w:r w:rsidRPr="00B87686">
                      <w:t xml:space="preserve">1905), he adopted the idea that mimetic content counts for less than stylized form, which reflects an urge to form he termed </w:t>
                    </w:r>
                    <w:proofErr w:type="spellStart"/>
                    <w:r w:rsidRPr="00122433">
                      <w:rPr>
                        <w:i/>
                      </w:rPr>
                      <w:t>Kunstwollen</w:t>
                    </w:r>
                    <w:proofErr w:type="spellEnd"/>
                    <w:r w:rsidRPr="00B87686">
                      <w:t xml:space="preserve">. </w:t>
                    </w:r>
                    <w:proofErr w:type="spellStart"/>
                    <w:r w:rsidRPr="00B87686">
                      <w:t>Worringer</w:t>
                    </w:r>
                    <w:proofErr w:type="spellEnd"/>
                    <w:r w:rsidRPr="00B87686">
                      <w:t xml:space="preserve"> maintained that commitment to realistic representation demonstrated a confidence in the material world, while interest in abstraction reveals insecurity about the material world and a greater trust in spirituality. He extended these ideas in </w:t>
                    </w:r>
                    <w:proofErr w:type="spellStart"/>
                    <w:r w:rsidRPr="00122433">
                      <w:rPr>
                        <w:i/>
                      </w:rPr>
                      <w:t>Formprobleme</w:t>
                    </w:r>
                    <w:proofErr w:type="spellEnd"/>
                    <w:r w:rsidRPr="00122433">
                      <w:rPr>
                        <w:i/>
                      </w:rPr>
                      <w:t xml:space="preserve"> der </w:t>
                    </w:r>
                    <w:proofErr w:type="spellStart"/>
                    <w:r w:rsidRPr="00122433">
                      <w:rPr>
                        <w:i/>
                      </w:rPr>
                      <w:t>Gotik</w:t>
                    </w:r>
                    <w:proofErr w:type="spellEnd"/>
                    <w:r w:rsidRPr="00B87686">
                      <w:t xml:space="preserve"> (1911), </w:t>
                    </w:r>
                    <w:proofErr w:type="spellStart"/>
                    <w:r w:rsidRPr="00122433">
                      <w:rPr>
                        <w:i/>
                      </w:rPr>
                      <w:t>Ägyptische</w:t>
                    </w:r>
                    <w:proofErr w:type="spellEnd"/>
                    <w:r w:rsidRPr="00122433">
                      <w:rPr>
                        <w:i/>
                      </w:rPr>
                      <w:t xml:space="preserve"> </w:t>
                    </w:r>
                    <w:proofErr w:type="spellStart"/>
                    <w:r w:rsidRPr="00122433">
                      <w:rPr>
                        <w:i/>
                      </w:rPr>
                      <w:t>Kunst</w:t>
                    </w:r>
                    <w:proofErr w:type="spellEnd"/>
                    <w:r w:rsidRPr="00B87686">
                      <w:t xml:space="preserve"> </w:t>
                    </w:r>
                    <w:r>
                      <w:t>[</w:t>
                    </w:r>
                    <w:r w:rsidRPr="00CD1432">
                      <w:rPr>
                        <w:i/>
                      </w:rPr>
                      <w:t>Egyptian Art</w:t>
                    </w:r>
                    <w:r>
                      <w:t>]</w:t>
                    </w:r>
                    <w:r w:rsidRPr="00B87686">
                      <w:t xml:space="preserve"> (1927;) and </w:t>
                    </w:r>
                    <w:proofErr w:type="spellStart"/>
                    <w:r w:rsidRPr="00122433">
                      <w:rPr>
                        <w:i/>
                      </w:rPr>
                      <w:t>Griechentum</w:t>
                    </w:r>
                    <w:proofErr w:type="spellEnd"/>
                    <w:r w:rsidRPr="00122433">
                      <w:rPr>
                        <w:i/>
                      </w:rPr>
                      <w:t xml:space="preserve"> und </w:t>
                    </w:r>
                    <w:proofErr w:type="spellStart"/>
                    <w:r w:rsidRPr="00122433">
                      <w:rPr>
                        <w:i/>
                      </w:rPr>
                      <w:t>Gotik</w:t>
                    </w:r>
                    <w:proofErr w:type="spellEnd"/>
                    <w:r w:rsidRPr="00B87686">
                      <w:t xml:space="preserve"> (1928). T. E. Hulme (1883-1917) embraced many of </w:t>
                    </w:r>
                    <w:proofErr w:type="spellStart"/>
                    <w:r w:rsidRPr="00B87686">
                      <w:t>Worringer’s</w:t>
                    </w:r>
                    <w:proofErr w:type="spellEnd"/>
                    <w:r w:rsidRPr="00B87686">
                      <w:t xml:space="preserve"> ideas (</w:t>
                    </w:r>
                    <w:r>
                      <w:t>including that of will to form)</w:t>
                    </w:r>
                    <w:r w:rsidRPr="00B87686">
                      <w:t xml:space="preserve"> and</w:t>
                    </w:r>
                    <w:r>
                      <w:t>,</w:t>
                    </w:r>
                    <w:r w:rsidRPr="00B87686">
                      <w:t xml:space="preserve"> through </w:t>
                    </w:r>
                    <w:proofErr w:type="gramStart"/>
                    <w:r w:rsidRPr="00B87686">
                      <w:t>Hulme,</w:t>
                    </w:r>
                    <w:proofErr w:type="gramEnd"/>
                    <w:r w:rsidRPr="00B87686">
                      <w:t xml:space="preserve"> these ideas influenced early English modernism, especially </w:t>
                    </w:r>
                    <w:proofErr w:type="spellStart"/>
                    <w:r w:rsidRPr="00B87686">
                      <w:t>Vorticism</w:t>
                    </w:r>
                    <w:proofErr w:type="spellEnd"/>
                    <w:r w:rsidRPr="00B87686">
                      <w:t>.</w:t>
                    </w:r>
                  </w:p>
                </w:tc>
                <w:bookmarkStart w:id="0" w:name="_GoBack" w:displacedByCustomXml="next"/>
                <w:bookmarkEnd w:id="0" w:displacedByCustomXml="next"/>
              </w:sdtContent>
            </w:sdt>
          </w:sdtContent>
        </w:sdt>
      </w:tr>
      <w:tr w:rsidR="003235A7" w14:paraId="2902C237" w14:textId="77777777" w:rsidTr="003235A7">
        <w:tc>
          <w:tcPr>
            <w:tcW w:w="9016" w:type="dxa"/>
          </w:tcPr>
          <w:p w14:paraId="5A05ACB9" w14:textId="0BD85519" w:rsidR="00D510C4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1A4D56C567FE843B0EAF426E64DD15E"/>
              </w:placeholder>
            </w:sdtPr>
            <w:sdtContent>
              <w:p w14:paraId="6E6F27C6" w14:textId="7E355ACC" w:rsidR="00F13809" w:rsidRDefault="00CD1432" w:rsidP="00213508">
                <w:sdt>
                  <w:sdtPr>
                    <w:id w:val="349684673"/>
                    <w:citation/>
                  </w:sdtPr>
                  <w:sdtContent>
                    <w:r w:rsidR="00871886">
                      <w:fldChar w:fldCharType="begin"/>
                    </w:r>
                    <w:r w:rsidR="00F13809">
                      <w:rPr>
                        <w:lang w:val="en-US"/>
                      </w:rPr>
                      <w:instrText xml:space="preserve">CITATION Arn86 \l 1033 </w:instrText>
                    </w:r>
                    <w:r w:rsidR="00871886">
                      <w:fldChar w:fldCharType="separate"/>
                    </w:r>
                    <w:r w:rsidR="00213508">
                      <w:rPr>
                        <w:noProof/>
                        <w:lang w:val="en-US"/>
                      </w:rPr>
                      <w:t xml:space="preserve"> (Arnheim)</w:t>
                    </w:r>
                    <w:r w:rsidR="00871886">
                      <w:fldChar w:fldCharType="end"/>
                    </w:r>
                  </w:sdtContent>
                </w:sdt>
              </w:p>
              <w:p w14:paraId="543BAFAD" w14:textId="77777777" w:rsidR="00CD1432" w:rsidRDefault="00CD1432" w:rsidP="00213508"/>
              <w:p w14:paraId="336C1DAC" w14:textId="72EBFC72" w:rsidR="004F0023" w:rsidRDefault="00CD1432" w:rsidP="00213508">
                <w:sdt>
                  <w:sdtPr>
                    <w:id w:val="-312879675"/>
                    <w:citation/>
                  </w:sdtPr>
                  <w:sdtContent>
                    <w:r w:rsidR="00F13809">
                      <w:fldChar w:fldCharType="begin"/>
                    </w:r>
                    <w:r w:rsidR="00F13809">
                      <w:rPr>
                        <w:lang w:val="en-US"/>
                      </w:rPr>
                      <w:instrText xml:space="preserve"> CITATION Don95 \l 1033 </w:instrText>
                    </w:r>
                    <w:r w:rsidR="00F13809">
                      <w:fldChar w:fldCharType="separate"/>
                    </w:r>
                    <w:r w:rsidR="00213508">
                      <w:rPr>
                        <w:noProof/>
                        <w:lang w:val="en-US"/>
                      </w:rPr>
                      <w:t>(Donahue)</w:t>
                    </w:r>
                    <w:r w:rsidR="00F13809">
                      <w:fldChar w:fldCharType="end"/>
                    </w:r>
                  </w:sdtContent>
                </w:sdt>
                <w:r w:rsidR="004F0023">
                  <w:t xml:space="preserve"> </w:t>
                </w:r>
              </w:p>
              <w:p w14:paraId="10CF6993" w14:textId="77777777" w:rsidR="00CD1432" w:rsidRDefault="00CD1432" w:rsidP="00213508"/>
              <w:p w14:paraId="0FB9BD5F" w14:textId="41FA5258" w:rsidR="0049015B" w:rsidRDefault="00CD1432" w:rsidP="00213508">
                <w:sdt>
                  <w:sdtPr>
                    <w:id w:val="-2073499960"/>
                    <w:citation/>
                  </w:sdtPr>
                  <w:sdtContent>
                    <w:r w:rsidR="0049015B">
                      <w:fldChar w:fldCharType="begin"/>
                    </w:r>
                    <w:r w:rsidR="0049015B">
                      <w:rPr>
                        <w:lang w:val="en-US"/>
                      </w:rPr>
                      <w:instrText xml:space="preserve">CITATION Fos04 \l 1033 </w:instrText>
                    </w:r>
                    <w:r w:rsidR="0049015B">
                      <w:fldChar w:fldCharType="separate"/>
                    </w:r>
                    <w:r w:rsidR="00213508">
                      <w:rPr>
                        <w:noProof/>
                        <w:lang w:val="en-US"/>
                      </w:rPr>
                      <w:t>(Foster)</w:t>
                    </w:r>
                    <w:r w:rsidR="0049015B">
                      <w:fldChar w:fldCharType="end"/>
                    </w:r>
                  </w:sdtContent>
                </w:sdt>
              </w:p>
              <w:p w14:paraId="0011EB32" w14:textId="77777777" w:rsidR="00CD1432" w:rsidRDefault="00CD1432" w:rsidP="00213508"/>
              <w:p w14:paraId="5AC01F54" w14:textId="77777777" w:rsidR="00605963" w:rsidRDefault="00CD1432" w:rsidP="00213508">
                <w:sdt>
                  <w:sdtPr>
                    <w:id w:val="702909823"/>
                    <w:citation/>
                  </w:sdtPr>
                  <w:sdtContent>
                    <w:r w:rsidR="0049015B">
                      <w:fldChar w:fldCharType="begin"/>
                    </w:r>
                    <w:r w:rsidR="0049015B">
                      <w:rPr>
                        <w:lang w:val="en-US"/>
                      </w:rPr>
                      <w:instrText xml:space="preserve"> CITATION Wai95 \l 1033 </w:instrText>
                    </w:r>
                    <w:r w:rsidR="0049015B">
                      <w:fldChar w:fldCharType="separate"/>
                    </w:r>
                    <w:r w:rsidR="00213508">
                      <w:rPr>
                        <w:noProof/>
                        <w:lang w:val="en-US"/>
                      </w:rPr>
                      <w:t>(Waite)</w:t>
                    </w:r>
                    <w:r w:rsidR="0049015B">
                      <w:fldChar w:fldCharType="end"/>
                    </w:r>
                  </w:sdtContent>
                </w:sdt>
              </w:p>
              <w:p w14:paraId="4A7898E2" w14:textId="77777777" w:rsidR="00CD1432" w:rsidRDefault="00CD1432" w:rsidP="00213508"/>
              <w:p w14:paraId="76B2CDB0" w14:textId="57E41717" w:rsidR="00605963" w:rsidRDefault="00CD1432" w:rsidP="00213508">
                <w:sdt>
                  <w:sdtPr>
                    <w:id w:val="1176073138"/>
                    <w:citation/>
                  </w:sdtPr>
                  <w:sdtContent>
                    <w:r w:rsidR="00213508">
                      <w:fldChar w:fldCharType="begin"/>
                    </w:r>
                    <w:r w:rsidR="00213508">
                      <w:rPr>
                        <w:lang w:val="en-US"/>
                      </w:rPr>
                      <w:instrText xml:space="preserve"> CITATION Wor53 \l 1033 </w:instrText>
                    </w:r>
                    <w:r w:rsidR="00213508">
                      <w:fldChar w:fldCharType="separate"/>
                    </w:r>
                    <w:r w:rsidR="00213508">
                      <w:rPr>
                        <w:noProof/>
                        <w:lang w:val="en-US"/>
                      </w:rPr>
                      <w:t>(Worringer, Abstraction and Empathy [Abstraktion und Einfühlung: ein Beitrag zur Stilpyschologie] (1907; 1908) )</w:t>
                    </w:r>
                    <w:r w:rsidR="00213508">
                      <w:fldChar w:fldCharType="end"/>
                    </w:r>
                  </w:sdtContent>
                </w:sdt>
              </w:p>
              <w:p w14:paraId="0F8DE707" w14:textId="77777777" w:rsidR="00CD1432" w:rsidRDefault="00CD1432" w:rsidP="00213508"/>
              <w:p w14:paraId="4489CF66" w14:textId="3DBAFCDA" w:rsidR="00605963" w:rsidRDefault="00CD1432" w:rsidP="00213508">
                <w:sdt>
                  <w:sdtPr>
                    <w:id w:val="1808579565"/>
                    <w:citation/>
                  </w:sdtPr>
                  <w:sdtContent>
                    <w:r w:rsidR="00213508">
                      <w:fldChar w:fldCharType="begin"/>
                    </w:r>
                    <w:r w:rsidR="00213508">
                      <w:rPr>
                        <w:lang w:val="en-US"/>
                      </w:rPr>
                      <w:instrText xml:space="preserve"> CITATION Wor57 \l 1033 </w:instrText>
                    </w:r>
                    <w:r w:rsidR="00213508">
                      <w:fldChar w:fldCharType="separate"/>
                    </w:r>
                    <w:r w:rsidR="00213508">
                      <w:rPr>
                        <w:noProof/>
                        <w:lang w:val="en-US"/>
                      </w:rPr>
                      <w:t>(Worringer, Form in Gothic [Formprobleme der Gotik] (1912))</w:t>
                    </w:r>
                    <w:r w:rsidR="00213508">
                      <w:fldChar w:fldCharType="end"/>
                    </w:r>
                  </w:sdtContent>
                </w:sdt>
              </w:p>
              <w:p w14:paraId="51E4BF40" w14:textId="77777777" w:rsidR="00CD1432" w:rsidRDefault="00CD1432" w:rsidP="00213508"/>
              <w:p w14:paraId="58B30F40" w14:textId="1A532E0B" w:rsidR="00213508" w:rsidRDefault="00CD1432" w:rsidP="00213508">
                <w:sdt>
                  <w:sdtPr>
                    <w:id w:val="-188137099"/>
                    <w:citation/>
                  </w:sdtPr>
                  <w:sdtContent>
                    <w:r w:rsidR="00213508">
                      <w:fldChar w:fldCharType="begin"/>
                    </w:r>
                    <w:r w:rsidR="00213508">
                      <w:rPr>
                        <w:lang w:val="en-US"/>
                      </w:rPr>
                      <w:instrText xml:space="preserve"> CITATION Wor28 \l 1033 </w:instrText>
                    </w:r>
                    <w:r w:rsidR="00213508">
                      <w:fldChar w:fldCharType="separate"/>
                    </w:r>
                    <w:r w:rsidR="00213508">
                      <w:rPr>
                        <w:noProof/>
                        <w:lang w:val="en-US"/>
                      </w:rPr>
                      <w:t>(Worringer, Egyptian Art [Ägyptische Kunst: Probleme ihrer Wertung] (1927))</w:t>
                    </w:r>
                    <w:r w:rsidR="00213508">
                      <w:fldChar w:fldCharType="end"/>
                    </w:r>
                  </w:sdtContent>
                </w:sdt>
              </w:p>
              <w:p w14:paraId="4F89CD92" w14:textId="77777777" w:rsidR="00CD1432" w:rsidRDefault="00CD1432" w:rsidP="00213508"/>
              <w:p w14:paraId="1903272E" w14:textId="43BC8CA1" w:rsidR="003235A7" w:rsidRDefault="00CD1432" w:rsidP="00213508">
                <w:sdt>
                  <w:sdtPr>
                    <w:id w:val="972957012"/>
                    <w:citation/>
                  </w:sdtPr>
                  <w:sdtContent>
                    <w:r w:rsidR="00213508">
                      <w:fldChar w:fldCharType="begin"/>
                    </w:r>
                    <w:r w:rsidR="00213508">
                      <w:rPr>
                        <w:lang w:val="en-US"/>
                      </w:rPr>
                      <w:instrText xml:space="preserve"> CITATION Wor281 \l 1033 </w:instrText>
                    </w:r>
                    <w:r w:rsidR="00213508">
                      <w:fldChar w:fldCharType="separate"/>
                    </w:r>
                    <w:r w:rsidR="00213508">
                      <w:rPr>
                        <w:noProof/>
                        <w:lang w:val="en-US"/>
                      </w:rPr>
                      <w:t>(Worringer, Griechentum und Gotik: vom Weltreich des Hellenismus )</w:t>
                    </w:r>
                    <w:r w:rsidR="00213508">
                      <w:fldChar w:fldCharType="end"/>
                    </w:r>
                  </w:sdtContent>
                </w:sdt>
              </w:p>
            </w:sdtContent>
          </w:sdt>
        </w:tc>
      </w:tr>
    </w:tbl>
    <w:p w14:paraId="69E17BCA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9155ED" w14:textId="77777777" w:rsidR="00CD1432" w:rsidRDefault="00CD1432" w:rsidP="007A0D55">
      <w:pPr>
        <w:spacing w:after="0" w:line="240" w:lineRule="auto"/>
      </w:pPr>
      <w:r>
        <w:separator/>
      </w:r>
    </w:p>
  </w:endnote>
  <w:endnote w:type="continuationSeparator" w:id="0">
    <w:p w14:paraId="7C705A3D" w14:textId="77777777" w:rsidR="00CD1432" w:rsidRDefault="00CD143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Droid Sans Fallback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56DCFC" w14:textId="77777777" w:rsidR="00CD1432" w:rsidRDefault="00CD1432" w:rsidP="007A0D55">
      <w:pPr>
        <w:spacing w:after="0" w:line="240" w:lineRule="auto"/>
      </w:pPr>
      <w:r>
        <w:separator/>
      </w:r>
    </w:p>
  </w:footnote>
  <w:footnote w:type="continuationSeparator" w:id="0">
    <w:p w14:paraId="5FF30916" w14:textId="77777777" w:rsidR="00CD1432" w:rsidRDefault="00CD143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F06486" w14:textId="77777777" w:rsidR="00CD1432" w:rsidRDefault="00CD1432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54D181D" w14:textId="77777777" w:rsidR="00CD1432" w:rsidRDefault="00CD143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06C"/>
    <w:rsid w:val="00032559"/>
    <w:rsid w:val="0004168A"/>
    <w:rsid w:val="00052040"/>
    <w:rsid w:val="00095527"/>
    <w:rsid w:val="000B25AE"/>
    <w:rsid w:val="000B55AB"/>
    <w:rsid w:val="000D24DC"/>
    <w:rsid w:val="00101B2E"/>
    <w:rsid w:val="00116FA0"/>
    <w:rsid w:val="00122433"/>
    <w:rsid w:val="0015114C"/>
    <w:rsid w:val="001A21F3"/>
    <w:rsid w:val="001A2537"/>
    <w:rsid w:val="001A6A06"/>
    <w:rsid w:val="0021006C"/>
    <w:rsid w:val="00210C03"/>
    <w:rsid w:val="00213508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015B"/>
    <w:rsid w:val="00496888"/>
    <w:rsid w:val="004A7476"/>
    <w:rsid w:val="004E5896"/>
    <w:rsid w:val="004F0023"/>
    <w:rsid w:val="00513EE6"/>
    <w:rsid w:val="00534F8F"/>
    <w:rsid w:val="00590035"/>
    <w:rsid w:val="005B177E"/>
    <w:rsid w:val="005B3921"/>
    <w:rsid w:val="005F26D7"/>
    <w:rsid w:val="005F5450"/>
    <w:rsid w:val="00605963"/>
    <w:rsid w:val="006D0412"/>
    <w:rsid w:val="007411B9"/>
    <w:rsid w:val="00780D95"/>
    <w:rsid w:val="00780DC7"/>
    <w:rsid w:val="007A0D55"/>
    <w:rsid w:val="007B3377"/>
    <w:rsid w:val="007E5F44"/>
    <w:rsid w:val="008076D6"/>
    <w:rsid w:val="00821DE3"/>
    <w:rsid w:val="00846CE1"/>
    <w:rsid w:val="00871886"/>
    <w:rsid w:val="008A5B87"/>
    <w:rsid w:val="00922950"/>
    <w:rsid w:val="009A7264"/>
    <w:rsid w:val="009D1606"/>
    <w:rsid w:val="009E18A1"/>
    <w:rsid w:val="009E73D7"/>
    <w:rsid w:val="009F40DB"/>
    <w:rsid w:val="00A27D2C"/>
    <w:rsid w:val="00A432EB"/>
    <w:rsid w:val="00A76FD9"/>
    <w:rsid w:val="00AB436D"/>
    <w:rsid w:val="00AD2F24"/>
    <w:rsid w:val="00AD4844"/>
    <w:rsid w:val="00B219AE"/>
    <w:rsid w:val="00B33145"/>
    <w:rsid w:val="00B574C9"/>
    <w:rsid w:val="00B87686"/>
    <w:rsid w:val="00BC39C9"/>
    <w:rsid w:val="00BE5BF7"/>
    <w:rsid w:val="00BF40E1"/>
    <w:rsid w:val="00C27FAB"/>
    <w:rsid w:val="00C358D4"/>
    <w:rsid w:val="00C6296B"/>
    <w:rsid w:val="00CC586D"/>
    <w:rsid w:val="00CD1432"/>
    <w:rsid w:val="00CF1542"/>
    <w:rsid w:val="00CF2A88"/>
    <w:rsid w:val="00CF3EC5"/>
    <w:rsid w:val="00D510C4"/>
    <w:rsid w:val="00D656DA"/>
    <w:rsid w:val="00D81B25"/>
    <w:rsid w:val="00D83300"/>
    <w:rsid w:val="00DC6B48"/>
    <w:rsid w:val="00DD3275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13809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AEF5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F002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023"/>
    <w:rPr>
      <w:rFonts w:ascii="Lucida Grande" w:hAnsi="Lucida Grande"/>
      <w:sz w:val="18"/>
      <w:szCs w:val="18"/>
    </w:rPr>
  </w:style>
  <w:style w:type="paragraph" w:customStyle="1" w:styleId="Standard">
    <w:name w:val="Standard"/>
    <w:rsid w:val="004F0023"/>
    <w:pPr>
      <w:widowControl w:val="0"/>
      <w:tabs>
        <w:tab w:val="left" w:pos="709"/>
      </w:tabs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color w:val="00000A"/>
      <w:kern w:val="3"/>
      <w:sz w:val="24"/>
      <w:szCs w:val="24"/>
      <w:lang w:val="en-CA" w:eastAsia="zh-CN" w:bidi="hi-I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F002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023"/>
    <w:rPr>
      <w:rFonts w:ascii="Lucida Grande" w:hAnsi="Lucida Grande"/>
      <w:sz w:val="18"/>
      <w:szCs w:val="18"/>
    </w:rPr>
  </w:style>
  <w:style w:type="paragraph" w:customStyle="1" w:styleId="Standard">
    <w:name w:val="Standard"/>
    <w:rsid w:val="004F0023"/>
    <w:pPr>
      <w:widowControl w:val="0"/>
      <w:tabs>
        <w:tab w:val="left" w:pos="709"/>
      </w:tabs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color w:val="00000A"/>
      <w:kern w:val="3"/>
      <w:sz w:val="24"/>
      <w:szCs w:val="24"/>
      <w:lang w:val="en-CA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esktop:++SColl:Worringer(Elder)S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684A3CB0CA4BF4384794AEEFD8451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E71D3-93A4-E947-B7EC-8C8C885E76A4}"/>
      </w:docPartPr>
      <w:docPartBody>
        <w:p w:rsidR="00242712" w:rsidRDefault="00242712">
          <w:pPr>
            <w:pStyle w:val="B684A3CB0CA4BF4384794AEEFD84513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0AA1285C7C73C04E8CA534974711B6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33DD-5A11-6541-B8E4-59282E1654B4}"/>
      </w:docPartPr>
      <w:docPartBody>
        <w:p w:rsidR="00242712" w:rsidRDefault="00242712">
          <w:pPr>
            <w:pStyle w:val="0AA1285C7C73C04E8CA534974711B6E2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F9E99825907E54CAF7FF5EC9460B0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AB765C-8C9D-3046-B1E3-60122FB34555}"/>
      </w:docPartPr>
      <w:docPartBody>
        <w:p w:rsidR="00242712" w:rsidRDefault="00242712">
          <w:pPr>
            <w:pStyle w:val="6F9E99825907E54CAF7FF5EC9460B0B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A28A03376AA394188EB1561BDE0C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078AD-BF35-0842-97A0-A12C1950F7D0}"/>
      </w:docPartPr>
      <w:docPartBody>
        <w:p w:rsidR="00242712" w:rsidRDefault="00242712">
          <w:pPr>
            <w:pStyle w:val="0A28A03376AA394188EB1561BDE0C29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5AD548D90732941A1FBC9BE65C6C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874DCE-08DB-EC48-BF11-F81766595373}"/>
      </w:docPartPr>
      <w:docPartBody>
        <w:p w:rsidR="00242712" w:rsidRDefault="00242712">
          <w:pPr>
            <w:pStyle w:val="75AD548D90732941A1FBC9BE65C6C327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1349A36B384274B9FCE9FC8A94F1A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73A8E-A187-D84B-B8FE-B7A6F3F708B8}"/>
      </w:docPartPr>
      <w:docPartBody>
        <w:p w:rsidR="00242712" w:rsidRDefault="00242712">
          <w:pPr>
            <w:pStyle w:val="21349A36B384274B9FCE9FC8A94F1AE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74FCB3DCB8B2C4FB299097340C764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0E9CCA-B56E-6145-9954-72BFF3A746AB}"/>
      </w:docPartPr>
      <w:docPartBody>
        <w:p w:rsidR="00242712" w:rsidRDefault="00242712">
          <w:pPr>
            <w:pStyle w:val="B74FCB3DCB8B2C4FB299097340C764C1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567304AABCAEE448D1B9E8AD46755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2633C-1BA5-394F-9D13-B1F3C4BCD789}"/>
      </w:docPartPr>
      <w:docPartBody>
        <w:p w:rsidR="00242712" w:rsidRDefault="00242712">
          <w:pPr>
            <w:pStyle w:val="C567304AABCAEE448D1B9E8AD46755A6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24265BE6C966F4A8823B742C098BC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41B97E-1E85-E94C-A8F8-10FE2BAC0160}"/>
      </w:docPartPr>
      <w:docPartBody>
        <w:p w:rsidR="00242712" w:rsidRDefault="00242712">
          <w:pPr>
            <w:pStyle w:val="D24265BE6C966F4A8823B742C098BC4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87203C23BA01747BFDD6A60F5B792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83117-ED72-0D43-B82D-AD0AF4361894}"/>
      </w:docPartPr>
      <w:docPartBody>
        <w:p w:rsidR="00242712" w:rsidRDefault="00242712">
          <w:pPr>
            <w:pStyle w:val="787203C23BA01747BFDD6A60F5B792F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1A4D56C567FE843B0EAF426E64DD1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64050-F2FE-EC44-84D3-63D10198DF5E}"/>
      </w:docPartPr>
      <w:docPartBody>
        <w:p w:rsidR="00242712" w:rsidRDefault="00242712">
          <w:pPr>
            <w:pStyle w:val="E1A4D56C567FE843B0EAF426E64DD15E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2D6054DF89FA9A4CB3FDC1926D88BE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F74E2-4FA9-7D49-829E-84CEAC315B89}"/>
      </w:docPartPr>
      <w:docPartBody>
        <w:p w:rsidR="00000000" w:rsidRDefault="00EC6B22" w:rsidP="00EC6B22">
          <w:pPr>
            <w:pStyle w:val="2D6054DF89FA9A4CB3FDC1926D88BEA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4FC4BA92757B8846B088B0621B789D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B31D26-1D6C-D04E-915A-BDC2E55417EC}"/>
      </w:docPartPr>
      <w:docPartBody>
        <w:p w:rsidR="00000000" w:rsidRDefault="00EC6B22" w:rsidP="00EC6B22">
          <w:pPr>
            <w:pStyle w:val="4FC4BA92757B8846B088B0621B789DC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9108A140C4A374299C7981EB66BB1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EA12B8-BB8C-1144-BB36-5824C70AE4DB}"/>
      </w:docPartPr>
      <w:docPartBody>
        <w:p w:rsidR="00000000" w:rsidRDefault="00EC6B22" w:rsidP="00EC6B22">
          <w:pPr>
            <w:pStyle w:val="99108A140C4A374299C7981EB66BB15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64706C143977A74DB939A4FC44D05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A55E2-D580-DB4D-B72F-869550BE0E8F}"/>
      </w:docPartPr>
      <w:docPartBody>
        <w:p w:rsidR="00000000" w:rsidRDefault="00EC6B22" w:rsidP="00EC6B22">
          <w:pPr>
            <w:pStyle w:val="64706C143977A74DB939A4FC44D0510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Droid Sans Fallback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712"/>
    <w:rsid w:val="00242712"/>
    <w:rsid w:val="00EC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6B22"/>
    <w:rPr>
      <w:color w:val="808080"/>
    </w:rPr>
  </w:style>
  <w:style w:type="paragraph" w:customStyle="1" w:styleId="B684A3CB0CA4BF4384794AEEFD845135">
    <w:name w:val="B684A3CB0CA4BF4384794AEEFD845135"/>
  </w:style>
  <w:style w:type="paragraph" w:customStyle="1" w:styleId="0AA1285C7C73C04E8CA534974711B6E2">
    <w:name w:val="0AA1285C7C73C04E8CA534974711B6E2"/>
  </w:style>
  <w:style w:type="paragraph" w:customStyle="1" w:styleId="6F9E99825907E54CAF7FF5EC9460B0BA">
    <w:name w:val="6F9E99825907E54CAF7FF5EC9460B0BA"/>
  </w:style>
  <w:style w:type="paragraph" w:customStyle="1" w:styleId="0A28A03376AA394188EB1561BDE0C29D">
    <w:name w:val="0A28A03376AA394188EB1561BDE0C29D"/>
  </w:style>
  <w:style w:type="paragraph" w:customStyle="1" w:styleId="75AD548D90732941A1FBC9BE65C6C327">
    <w:name w:val="75AD548D90732941A1FBC9BE65C6C327"/>
  </w:style>
  <w:style w:type="paragraph" w:customStyle="1" w:styleId="21349A36B384274B9FCE9FC8A94F1AE3">
    <w:name w:val="21349A36B384274B9FCE9FC8A94F1AE3"/>
  </w:style>
  <w:style w:type="paragraph" w:customStyle="1" w:styleId="B74FCB3DCB8B2C4FB299097340C764C1">
    <w:name w:val="B74FCB3DCB8B2C4FB299097340C764C1"/>
  </w:style>
  <w:style w:type="paragraph" w:customStyle="1" w:styleId="C567304AABCAEE448D1B9E8AD46755A6">
    <w:name w:val="C567304AABCAEE448D1B9E8AD46755A6"/>
  </w:style>
  <w:style w:type="paragraph" w:customStyle="1" w:styleId="D24265BE6C966F4A8823B742C098BC46">
    <w:name w:val="D24265BE6C966F4A8823B742C098BC46"/>
  </w:style>
  <w:style w:type="paragraph" w:customStyle="1" w:styleId="787203C23BA01747BFDD6A60F5B792FF">
    <w:name w:val="787203C23BA01747BFDD6A60F5B792FF"/>
  </w:style>
  <w:style w:type="paragraph" w:customStyle="1" w:styleId="E1A4D56C567FE843B0EAF426E64DD15E">
    <w:name w:val="E1A4D56C567FE843B0EAF426E64DD15E"/>
  </w:style>
  <w:style w:type="paragraph" w:customStyle="1" w:styleId="3E452173089B6E4C849F8B269E757EA2">
    <w:name w:val="3E452173089B6E4C849F8B269E757EA2"/>
    <w:rsid w:val="00EC6B22"/>
    <w:rPr>
      <w:lang w:val="en-CA"/>
    </w:rPr>
  </w:style>
  <w:style w:type="paragraph" w:customStyle="1" w:styleId="2D6054DF89FA9A4CB3FDC1926D88BEA5">
    <w:name w:val="2D6054DF89FA9A4CB3FDC1926D88BEA5"/>
    <w:rsid w:val="00EC6B22"/>
    <w:rPr>
      <w:lang w:val="en-CA"/>
    </w:rPr>
  </w:style>
  <w:style w:type="paragraph" w:customStyle="1" w:styleId="4FC4BA92757B8846B088B0621B789DC7">
    <w:name w:val="4FC4BA92757B8846B088B0621B789DC7"/>
    <w:rsid w:val="00EC6B22"/>
    <w:rPr>
      <w:lang w:val="en-CA"/>
    </w:rPr>
  </w:style>
  <w:style w:type="paragraph" w:customStyle="1" w:styleId="99108A140C4A374299C7981EB66BB150">
    <w:name w:val="99108A140C4A374299C7981EB66BB150"/>
    <w:rsid w:val="00EC6B22"/>
    <w:rPr>
      <w:lang w:val="en-CA"/>
    </w:rPr>
  </w:style>
  <w:style w:type="paragraph" w:customStyle="1" w:styleId="64706C143977A74DB939A4FC44D05105">
    <w:name w:val="64706C143977A74DB939A4FC44D05105"/>
    <w:rsid w:val="00EC6B22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6B22"/>
    <w:rPr>
      <w:color w:val="808080"/>
    </w:rPr>
  </w:style>
  <w:style w:type="paragraph" w:customStyle="1" w:styleId="B684A3CB0CA4BF4384794AEEFD845135">
    <w:name w:val="B684A3CB0CA4BF4384794AEEFD845135"/>
  </w:style>
  <w:style w:type="paragraph" w:customStyle="1" w:styleId="0AA1285C7C73C04E8CA534974711B6E2">
    <w:name w:val="0AA1285C7C73C04E8CA534974711B6E2"/>
  </w:style>
  <w:style w:type="paragraph" w:customStyle="1" w:styleId="6F9E99825907E54CAF7FF5EC9460B0BA">
    <w:name w:val="6F9E99825907E54CAF7FF5EC9460B0BA"/>
  </w:style>
  <w:style w:type="paragraph" w:customStyle="1" w:styleId="0A28A03376AA394188EB1561BDE0C29D">
    <w:name w:val="0A28A03376AA394188EB1561BDE0C29D"/>
  </w:style>
  <w:style w:type="paragraph" w:customStyle="1" w:styleId="75AD548D90732941A1FBC9BE65C6C327">
    <w:name w:val="75AD548D90732941A1FBC9BE65C6C327"/>
  </w:style>
  <w:style w:type="paragraph" w:customStyle="1" w:styleId="21349A36B384274B9FCE9FC8A94F1AE3">
    <w:name w:val="21349A36B384274B9FCE9FC8A94F1AE3"/>
  </w:style>
  <w:style w:type="paragraph" w:customStyle="1" w:styleId="B74FCB3DCB8B2C4FB299097340C764C1">
    <w:name w:val="B74FCB3DCB8B2C4FB299097340C764C1"/>
  </w:style>
  <w:style w:type="paragraph" w:customStyle="1" w:styleId="C567304AABCAEE448D1B9E8AD46755A6">
    <w:name w:val="C567304AABCAEE448D1B9E8AD46755A6"/>
  </w:style>
  <w:style w:type="paragraph" w:customStyle="1" w:styleId="D24265BE6C966F4A8823B742C098BC46">
    <w:name w:val="D24265BE6C966F4A8823B742C098BC46"/>
  </w:style>
  <w:style w:type="paragraph" w:customStyle="1" w:styleId="787203C23BA01747BFDD6A60F5B792FF">
    <w:name w:val="787203C23BA01747BFDD6A60F5B792FF"/>
  </w:style>
  <w:style w:type="paragraph" w:customStyle="1" w:styleId="E1A4D56C567FE843B0EAF426E64DD15E">
    <w:name w:val="E1A4D56C567FE843B0EAF426E64DD15E"/>
  </w:style>
  <w:style w:type="paragraph" w:customStyle="1" w:styleId="3E452173089B6E4C849F8B269E757EA2">
    <w:name w:val="3E452173089B6E4C849F8B269E757EA2"/>
    <w:rsid w:val="00EC6B22"/>
    <w:rPr>
      <w:lang w:val="en-CA"/>
    </w:rPr>
  </w:style>
  <w:style w:type="paragraph" w:customStyle="1" w:styleId="2D6054DF89FA9A4CB3FDC1926D88BEA5">
    <w:name w:val="2D6054DF89FA9A4CB3FDC1926D88BEA5"/>
    <w:rsid w:val="00EC6B22"/>
    <w:rPr>
      <w:lang w:val="en-CA"/>
    </w:rPr>
  </w:style>
  <w:style w:type="paragraph" w:customStyle="1" w:styleId="4FC4BA92757B8846B088B0621B789DC7">
    <w:name w:val="4FC4BA92757B8846B088B0621B789DC7"/>
    <w:rsid w:val="00EC6B22"/>
    <w:rPr>
      <w:lang w:val="en-CA"/>
    </w:rPr>
  </w:style>
  <w:style w:type="paragraph" w:customStyle="1" w:styleId="99108A140C4A374299C7981EB66BB150">
    <w:name w:val="99108A140C4A374299C7981EB66BB150"/>
    <w:rsid w:val="00EC6B22"/>
    <w:rPr>
      <w:lang w:val="en-CA"/>
    </w:rPr>
  </w:style>
  <w:style w:type="paragraph" w:customStyle="1" w:styleId="64706C143977A74DB939A4FC44D05105">
    <w:name w:val="64706C143977A74DB939A4FC44D05105"/>
    <w:rsid w:val="00EC6B22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Don95</b:Tag>
    <b:SourceType>Book</b:SourceType>
    <b:Guid>{F1F46C27-6819-C649-88D3-266A3F9568DB}</b:Guid>
    <b:Author>
      <b:Author>
        <b:NameList>
          <b:Person>
            <b:Last>Donahue</b:Last>
            <b:First>N.H.</b:First>
          </b:Person>
        </b:NameList>
      </b:Author>
    </b:Author>
    <b:Title>Invisible Cathedrals: The Expressionist Art History of Wilhelm Worringer</b:Title>
    <b:Publisher> Penn State University Press</b:Publisher>
    <b:City>Pittsburgh</b:City>
    <b:Year>1995</b:Year>
    <b:RefOrder>2</b:RefOrder>
  </b:Source>
  <b:Source>
    <b:Tag>Arn86</b:Tag>
    <b:SourceType>BookSection</b:SourceType>
    <b:Guid>{2ED62EE1-8E83-4840-9D10-1413FAE8A539}</b:Guid>
    <b:Author>
      <b:Author>
        <b:NameList>
          <b:Person>
            <b:Last>Arnheim</b:Last>
            <b:First>R.</b:First>
          </b:Person>
        </b:NameList>
      </b:Author>
    </b:Author>
    <b:Title>Wilhelm Worringer on Abstraction and Empathy</b:Title>
    <b:City>Berkeley and Los Angeles:</b:City>
    <b:Publisher>University of California Press</b:Publisher>
    <b:Year>1986</b:Year>
    <b:Pages>50-62</b:Pages>
    <b:BookTitle>New Essays on the Psychology of Art</b:BookTitle>
    <b:RefOrder>1</b:RefOrder>
  </b:Source>
  <b:Source>
    <b:Tag>Wai95</b:Tag>
    <b:SourceType>BookSection</b:SourceType>
    <b:Guid>{969FC9D2-7B25-F14F-B5B2-347D26E972F0}</b:Guid>
    <b:Author>
      <b:Author>
        <b:NameList>
          <b:Person>
            <b:Last>Waite</b:Last>
            <b:First>G.</b:First>
          </b:Person>
        </b:NameList>
      </b:Author>
      <b:Editor>
        <b:NameList>
          <b:Person>
            <b:Last>Schulte</b:Last>
            <b:First>G.</b:First>
            <b:Middle>Chapple and H. H.</b:Middle>
          </b:Person>
        </b:NameList>
      </b:Editor>
    </b:Author>
    <b:Title>Worringer’s Abstraction and Empathy: Remarks on its Reception and the Rhetoric of Criticism</b:Title>
    <b:BookTitle>The Turn of the Century: German Literature and Art, 1890-1905</b:BookTitle>
    <b:Publisher>Bouvier</b:Publisher>
    <b:Year>1995</b:Year>
    <b:Pages>197-223</b:Pages>
    <b:RefOrder>4</b:RefOrder>
  </b:Source>
  <b:Source>
    <b:Tag>Fos04</b:Tag>
    <b:SourceType>Book</b:SourceType>
    <b:Guid>{CB2A18FC-41DF-3A4B-9D61-C1434F1A7C1A}</b:Guid>
    <b:Author>
      <b:Author>
        <b:NameList>
          <b:Person>
            <b:Last>Foster</b:Last>
            <b:First>H.</b:First>
          </b:Person>
        </b:NameList>
      </b:Author>
    </b:Author>
    <b:Title>Prosthetic Gods</b:Title>
    <b:City>Cambridge</b:City>
    <b:Publisher>MIT Press</b:Publisher>
    <b:Year>2004</b:Year>
    <b:RefOrder>3</b:RefOrder>
  </b:Source>
  <b:Source>
    <b:Tag>Wor53</b:Tag>
    <b:SourceType>Book</b:SourceType>
    <b:Guid>{C5B8E9F6-C3EB-2D4F-AF64-A3385B17956E}</b:Guid>
    <b:Title>Abstraction and Empathy [Abstraktion und Einfühlung: ein Beitrag zur Stilpyschologie] (1907; 1908) </b:Title>
    <b:Publisher>International UP</b:Publisher>
    <b:City>New York; Munich</b:City>
    <b:Year>1953</b:Year>
    <b:Author>
      <b:Author>
        <b:NameList>
          <b:Person>
            <b:Last>Worringer</b:Last>
            <b:First>W.</b:First>
          </b:Person>
        </b:NameList>
      </b:Author>
      <b:Editor>
        <b:NameList>
          <b:Person>
            <b:Last>Piper</b:Last>
            <b:First>R.</b:First>
          </b:Person>
        </b:NameList>
      </b:Editor>
      <b:Translator>
        <b:NameList>
          <b:Person>
            <b:Last>Bullock</b:Last>
            <b:First>M.</b:First>
          </b:Person>
        </b:NameList>
      </b:Translator>
    </b:Author>
    <b:RefOrder>5</b:RefOrder>
  </b:Source>
  <b:Source>
    <b:Tag>Wor57</b:Tag>
    <b:SourceType>Book</b:SourceType>
    <b:Guid>{4A3BA1C8-76AA-E845-AD1E-265FCAE63B27}</b:Guid>
    <b:Title>Form in Gothic [Formprobleme der Gotik] (1912)</b:Title>
    <b:City>Munich; London</b:City>
    <b:Publisher>A. Tiranti</b:Publisher>
    <b:Year>1957</b:Year>
    <b:Author>
      <b:Author>
        <b:NameList>
          <b:Person>
            <b:Last>Worringer</b:Last>
            <b:First>W.</b:First>
          </b:Person>
        </b:NameList>
      </b:Author>
      <b:Editor>
        <b:NameList>
          <b:Person>
            <b:Last>Piper</b:Last>
            <b:First>R.</b:First>
          </b:Person>
        </b:NameList>
      </b:Editor>
      <b:Translator>
        <b:NameList>
          <b:Person>
            <b:Last>Read</b:Last>
            <b:First>Sir</b:First>
            <b:Middle>H.</b:Middle>
          </b:Person>
        </b:NameList>
      </b:Translator>
    </b:Author>
    <b:RefOrder>6</b:RefOrder>
  </b:Source>
  <b:Source>
    <b:Tag>Wor28</b:Tag>
    <b:SourceType>Book</b:SourceType>
    <b:Guid>{427B91D2-F1BA-5F48-BFE4-04359724970D}</b:Guid>
    <b:Title>Egyptian Art [Ägyptische Kunst: Probleme ihrer Wertung] (1927)</b:Title>
    <b:City>Munich; London</b:City>
    <b:Publisher>Putnam's Sons</b:Publisher>
    <b:Year>1928</b:Year>
    <b:Author>
      <b:Author>
        <b:NameList>
          <b:Person>
            <b:Last>Worringer</b:Last>
            <b:First>W.</b:First>
          </b:Person>
        </b:NameList>
      </b:Author>
      <b:Editor>
        <b:NameList>
          <b:Person>
            <b:Last>B. Rackham</b:Last>
            <b:First>et.</b:First>
            <b:Middle>al.</b:Middle>
          </b:Person>
        </b:NameList>
      </b:Editor>
      <b:Translator>
        <b:NameList>
          <b:Person>
            <b:Last>Piper</b:Last>
            <b:First>R.</b:First>
          </b:Person>
        </b:NameList>
      </b:Translator>
    </b:Author>
    <b:RefOrder>7</b:RefOrder>
  </b:Source>
  <b:Source>
    <b:Tag>Wor281</b:Tag>
    <b:SourceType>Book</b:SourceType>
    <b:Guid>{9D417DAB-CCF6-1549-98D3-0B981C1070C1}</b:Guid>
    <b:Title>Griechentum und Gotik: vom Weltreich des Hellenismus </b:Title>
    <b:City>Munich</b:City>
    <b:Publisher>R. Piper</b:Publisher>
    <b:Year>1928</b:Year>
    <b:Author>
      <b:Author>
        <b:NameList>
          <b:Person>
            <b:Last>Worringer</b:Last>
            <b:First>W.</b:First>
          </b:Person>
        </b:NameList>
      </b:Author>
    </b:Author>
    <b:RefOrder>8</b:RefOrder>
  </b:Source>
</b:Sources>
</file>

<file path=customXml/itemProps1.xml><?xml version="1.0" encoding="utf-8"?>
<ds:datastoreItem xmlns:ds="http://schemas.openxmlformats.org/officeDocument/2006/customXml" ds:itemID="{20F5373C-819A-DA4F-A93F-48724EC5A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Worringer(Elder)SC.dotx</Template>
  <TotalTime>38</TotalTime>
  <Pages>2</Pages>
  <Words>528</Words>
  <Characters>3014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Laura Dosky</cp:lastModifiedBy>
  <cp:revision>15</cp:revision>
  <dcterms:created xsi:type="dcterms:W3CDTF">2014-05-09T22:15:00Z</dcterms:created>
  <dcterms:modified xsi:type="dcterms:W3CDTF">2014-10-17T15:11:00Z</dcterms:modified>
</cp:coreProperties>
</file>