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0A" w:rsidRPr="00212CF3" w:rsidRDefault="00B82C0A" w:rsidP="0034123B">
      <w:pPr>
        <w:rPr>
          <w:rFonts w:cstheme="minorHAnsi"/>
          <w:b/>
          <w:sz w:val="30"/>
          <w:szCs w:val="30"/>
        </w:rPr>
      </w:pPr>
      <w:proofErr w:type="spellStart"/>
      <w:r w:rsidRPr="00A90EBD">
        <w:rPr>
          <w:rFonts w:cstheme="minorHAnsi"/>
          <w:b/>
          <w:sz w:val="30"/>
          <w:szCs w:val="30"/>
        </w:rPr>
        <w:t>Inge</w:t>
      </w:r>
      <w:proofErr w:type="spellEnd"/>
      <w:r w:rsidRPr="00A90EBD">
        <w:rPr>
          <w:rFonts w:cstheme="minorHAnsi"/>
          <w:b/>
          <w:sz w:val="30"/>
          <w:szCs w:val="30"/>
        </w:rPr>
        <w:t xml:space="preserve">, W.R. (William </w:t>
      </w:r>
      <w:proofErr w:type="gramStart"/>
      <w:r w:rsidRPr="00A90EBD">
        <w:rPr>
          <w:rFonts w:cstheme="minorHAnsi"/>
          <w:b/>
          <w:sz w:val="30"/>
          <w:szCs w:val="30"/>
        </w:rPr>
        <w:t>Ralph</w:t>
      </w:r>
      <w:r w:rsidR="00212CF3" w:rsidRPr="00212C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0EBD">
        <w:rPr>
          <w:rFonts w:cstheme="minorHAnsi"/>
          <w:b/>
          <w:sz w:val="30"/>
          <w:szCs w:val="30"/>
        </w:rPr>
        <w:t>)</w:t>
      </w:r>
      <w:proofErr w:type="gramEnd"/>
      <w:r w:rsidR="00212CF3">
        <w:rPr>
          <w:rFonts w:cstheme="minorHAnsi"/>
          <w:b/>
          <w:sz w:val="30"/>
          <w:szCs w:val="30"/>
        </w:rPr>
        <w:t xml:space="preserve"> (1860-1954</w:t>
      </w:r>
      <w:r w:rsidR="00446819">
        <w:rPr>
          <w:rFonts w:cstheme="minorHAnsi"/>
          <w:b/>
          <w:sz w:val="30"/>
          <w:szCs w:val="30"/>
        </w:rPr>
        <w:t>)</w:t>
      </w:r>
    </w:p>
    <w:p w:rsidR="0034123B" w:rsidRPr="00A90EBD" w:rsidRDefault="00212CF3" w:rsidP="0034123B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2E2F0EAD" wp14:editId="5E52D44B">
            <wp:simplePos x="0" y="0"/>
            <wp:positionH relativeFrom="column">
              <wp:posOffset>-68580</wp:posOffset>
            </wp:positionH>
            <wp:positionV relativeFrom="paragraph">
              <wp:posOffset>52070</wp:posOffset>
            </wp:positionV>
            <wp:extent cx="1746885" cy="2555875"/>
            <wp:effectExtent l="0" t="0" r="5715" b="0"/>
            <wp:wrapSquare wrapText="bothSides"/>
            <wp:docPr id="1" name="Picture 1" descr="\\eir.uib.no\home1\jca021\Downloads\Deani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ir.uib.no\home1\jca021\Downloads\Deani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23B" w:rsidRPr="00A90EBD">
        <w:rPr>
          <w:rFonts w:cstheme="minorHAnsi"/>
          <w:sz w:val="24"/>
          <w:szCs w:val="24"/>
        </w:rPr>
        <w:t xml:space="preserve">William Ralph </w:t>
      </w:r>
      <w:proofErr w:type="spellStart"/>
      <w:r w:rsidR="0034123B" w:rsidRPr="00A90EBD">
        <w:rPr>
          <w:rFonts w:cstheme="minorHAnsi"/>
          <w:sz w:val="24"/>
          <w:szCs w:val="24"/>
        </w:rPr>
        <w:t>Inge</w:t>
      </w:r>
      <w:proofErr w:type="spellEnd"/>
      <w:r w:rsidR="0034123B" w:rsidRPr="00A90EBD">
        <w:rPr>
          <w:rFonts w:cstheme="minorHAnsi"/>
          <w:sz w:val="24"/>
          <w:szCs w:val="24"/>
        </w:rPr>
        <w:t xml:space="preserve">, an Anglican </w:t>
      </w:r>
      <w:r>
        <w:rPr>
          <w:rFonts w:cstheme="minorHAnsi"/>
          <w:sz w:val="24"/>
          <w:szCs w:val="24"/>
        </w:rPr>
        <w:t>churchman</w:t>
      </w:r>
      <w:r w:rsidR="0034123B" w:rsidRPr="00A90EBD">
        <w:rPr>
          <w:rFonts w:cstheme="minorHAnsi"/>
          <w:sz w:val="24"/>
          <w:szCs w:val="24"/>
        </w:rPr>
        <w:t xml:space="preserve"> and scholar, was the recipient of many institutional honours. </w:t>
      </w:r>
      <w:r w:rsidR="008F05A6">
        <w:rPr>
          <w:rFonts w:cstheme="minorHAnsi"/>
          <w:sz w:val="24"/>
          <w:szCs w:val="24"/>
        </w:rPr>
        <w:t>Beginning</w:t>
      </w:r>
      <w:r w:rsidR="00A90EBD" w:rsidRPr="00A90EBD">
        <w:rPr>
          <w:rFonts w:cstheme="minorHAnsi"/>
          <w:sz w:val="24"/>
          <w:szCs w:val="24"/>
        </w:rPr>
        <w:t xml:space="preserve"> his</w:t>
      </w:r>
      <w:r w:rsidR="0034123B" w:rsidRPr="00A90EBD">
        <w:rPr>
          <w:rFonts w:cstheme="minorHAnsi"/>
          <w:sz w:val="24"/>
          <w:szCs w:val="24"/>
        </w:rPr>
        <w:t xml:space="preserve"> </w:t>
      </w:r>
      <w:r w:rsidR="000022F2">
        <w:rPr>
          <w:rFonts w:cstheme="minorHAnsi"/>
          <w:sz w:val="24"/>
          <w:szCs w:val="24"/>
        </w:rPr>
        <w:t xml:space="preserve">professional </w:t>
      </w:r>
      <w:r w:rsidR="0034123B" w:rsidRPr="00A90EBD">
        <w:rPr>
          <w:rFonts w:cstheme="minorHAnsi"/>
          <w:sz w:val="24"/>
          <w:szCs w:val="24"/>
        </w:rPr>
        <w:t>academic ca</w:t>
      </w:r>
      <w:r w:rsidR="00075C0B" w:rsidRPr="00A90EBD">
        <w:rPr>
          <w:rFonts w:cstheme="minorHAnsi"/>
          <w:sz w:val="24"/>
          <w:szCs w:val="24"/>
        </w:rPr>
        <w:t xml:space="preserve">reer, and </w:t>
      </w:r>
      <w:r w:rsidR="00A90EBD" w:rsidRPr="00A90EBD">
        <w:rPr>
          <w:rFonts w:cstheme="minorHAnsi"/>
          <w:sz w:val="24"/>
          <w:szCs w:val="24"/>
        </w:rPr>
        <w:t>also entering</w:t>
      </w:r>
      <w:r w:rsidR="00075C0B" w:rsidRPr="00A90EBD">
        <w:rPr>
          <w:rFonts w:cstheme="minorHAnsi"/>
          <w:sz w:val="24"/>
          <w:szCs w:val="24"/>
        </w:rPr>
        <w:t xml:space="preserve"> the Church, at</w:t>
      </w:r>
      <w:r w:rsidR="0034123B" w:rsidRPr="00A90EBD">
        <w:rPr>
          <w:rFonts w:cstheme="minorHAnsi"/>
          <w:sz w:val="24"/>
          <w:szCs w:val="24"/>
        </w:rPr>
        <w:t xml:space="preserve"> Oxford</w:t>
      </w:r>
      <w:r w:rsidR="003A0CB3">
        <w:rPr>
          <w:rFonts w:cstheme="minorHAnsi"/>
          <w:sz w:val="24"/>
          <w:szCs w:val="24"/>
        </w:rPr>
        <w:t xml:space="preserve"> (1888-1905)</w:t>
      </w:r>
      <w:r w:rsidR="0034123B" w:rsidRPr="00A90EBD">
        <w:rPr>
          <w:rFonts w:cstheme="minorHAnsi"/>
          <w:sz w:val="24"/>
          <w:szCs w:val="24"/>
        </w:rPr>
        <w:t xml:space="preserve">, he went on to become the </w:t>
      </w:r>
      <w:r w:rsidR="000022F2">
        <w:rPr>
          <w:rFonts w:cstheme="minorHAnsi"/>
          <w:sz w:val="24"/>
          <w:szCs w:val="24"/>
        </w:rPr>
        <w:t>Lady Margaret's Professor</w:t>
      </w:r>
      <w:r w:rsidR="0034123B" w:rsidRPr="00A90EBD">
        <w:rPr>
          <w:rFonts w:cstheme="minorHAnsi"/>
          <w:sz w:val="24"/>
          <w:szCs w:val="24"/>
        </w:rPr>
        <w:t xml:space="preserve"> of Divinity</w:t>
      </w:r>
      <w:r w:rsidR="005C1063">
        <w:rPr>
          <w:rFonts w:cstheme="minorHAnsi"/>
          <w:sz w:val="24"/>
          <w:szCs w:val="24"/>
        </w:rPr>
        <w:t xml:space="preserve"> at Cambridge (</w:t>
      </w:r>
      <w:r w:rsidR="003A0CB3">
        <w:rPr>
          <w:rFonts w:cstheme="minorHAnsi"/>
          <w:sz w:val="24"/>
          <w:szCs w:val="24"/>
        </w:rPr>
        <w:t>1907-1911)</w:t>
      </w:r>
      <w:r w:rsidR="0034123B" w:rsidRPr="00A90EBD">
        <w:rPr>
          <w:rFonts w:cstheme="minorHAnsi"/>
          <w:sz w:val="24"/>
          <w:szCs w:val="24"/>
        </w:rPr>
        <w:t>; Gifford Lecturer</w:t>
      </w:r>
      <w:r w:rsidR="003A0CB3">
        <w:rPr>
          <w:rFonts w:cstheme="minorHAnsi"/>
          <w:sz w:val="24"/>
          <w:szCs w:val="24"/>
        </w:rPr>
        <w:t xml:space="preserve"> (1917-1918)</w:t>
      </w:r>
      <w:r w:rsidR="000022F2">
        <w:rPr>
          <w:rFonts w:cstheme="minorHAnsi"/>
          <w:sz w:val="24"/>
          <w:szCs w:val="24"/>
        </w:rPr>
        <w:t>; and Dean of St</w:t>
      </w:r>
      <w:r w:rsidR="0034123B" w:rsidRPr="00A90EBD">
        <w:rPr>
          <w:rFonts w:cstheme="minorHAnsi"/>
          <w:sz w:val="24"/>
          <w:szCs w:val="24"/>
        </w:rPr>
        <w:t xml:space="preserve"> Paul’s</w:t>
      </w:r>
      <w:r w:rsidR="003A0CB3">
        <w:rPr>
          <w:rFonts w:cstheme="minorHAnsi"/>
          <w:sz w:val="24"/>
          <w:szCs w:val="24"/>
        </w:rPr>
        <w:t xml:space="preserve"> (1911-1934)</w:t>
      </w:r>
      <w:r w:rsidR="006F24B6">
        <w:rPr>
          <w:rFonts w:cstheme="minorHAnsi"/>
          <w:sz w:val="24"/>
          <w:szCs w:val="24"/>
        </w:rPr>
        <w:t>.</w:t>
      </w:r>
    </w:p>
    <w:p w:rsidR="0034123B" w:rsidRPr="00A90EBD" w:rsidRDefault="0034123B" w:rsidP="0034123B">
      <w:pPr>
        <w:rPr>
          <w:rFonts w:cstheme="minorHAnsi"/>
          <w:sz w:val="24"/>
          <w:szCs w:val="24"/>
        </w:rPr>
      </w:pPr>
      <w:r w:rsidRPr="00A90EBD">
        <w:rPr>
          <w:rFonts w:cstheme="minorHAnsi"/>
          <w:sz w:val="24"/>
          <w:szCs w:val="24"/>
        </w:rPr>
        <w:t xml:space="preserve">For literary modernists, he was chiefly known under two guises. He was the ‘Gloomy Dean’ of the </w:t>
      </w:r>
      <w:r w:rsidRPr="00A90EBD">
        <w:rPr>
          <w:rFonts w:cstheme="minorHAnsi"/>
          <w:i/>
          <w:sz w:val="24"/>
          <w:szCs w:val="24"/>
        </w:rPr>
        <w:t>Evening Standard</w:t>
      </w:r>
      <w:r w:rsidR="003A0CB3">
        <w:rPr>
          <w:rFonts w:cstheme="minorHAnsi"/>
          <w:sz w:val="24"/>
          <w:szCs w:val="24"/>
        </w:rPr>
        <w:t xml:space="preserve">, where he wrote </w:t>
      </w:r>
      <w:r w:rsidRPr="00A90EBD">
        <w:rPr>
          <w:rFonts w:cstheme="minorHAnsi"/>
          <w:sz w:val="24"/>
          <w:szCs w:val="24"/>
        </w:rPr>
        <w:t xml:space="preserve">a regular column </w:t>
      </w:r>
      <w:r w:rsidR="00212CF3">
        <w:rPr>
          <w:rFonts w:cstheme="minorHAnsi"/>
          <w:sz w:val="24"/>
          <w:szCs w:val="24"/>
        </w:rPr>
        <w:t xml:space="preserve">filled </w:t>
      </w:r>
      <w:r w:rsidRPr="00A90EBD">
        <w:rPr>
          <w:rFonts w:cstheme="minorHAnsi"/>
          <w:sz w:val="24"/>
          <w:szCs w:val="24"/>
        </w:rPr>
        <w:t>with deeply pessimistic cultural criticism</w:t>
      </w:r>
      <w:r w:rsidR="003A0CB3">
        <w:rPr>
          <w:rFonts w:cstheme="minorHAnsi"/>
          <w:sz w:val="24"/>
          <w:szCs w:val="24"/>
        </w:rPr>
        <w:t xml:space="preserve"> (1921-1946)</w:t>
      </w:r>
      <w:r w:rsidRPr="00A90EBD">
        <w:rPr>
          <w:rFonts w:cstheme="minorHAnsi"/>
          <w:sz w:val="24"/>
          <w:szCs w:val="24"/>
        </w:rPr>
        <w:t xml:space="preserve">. </w:t>
      </w:r>
      <w:proofErr w:type="spellStart"/>
      <w:r w:rsidR="00446819">
        <w:rPr>
          <w:rFonts w:cstheme="minorHAnsi"/>
          <w:sz w:val="24"/>
          <w:szCs w:val="24"/>
        </w:rPr>
        <w:t>Inge’s</w:t>
      </w:r>
      <w:proofErr w:type="spellEnd"/>
      <w:r w:rsidR="003A0CB3">
        <w:rPr>
          <w:rFonts w:cstheme="minorHAnsi"/>
          <w:sz w:val="24"/>
          <w:szCs w:val="24"/>
        </w:rPr>
        <w:t xml:space="preserve"> </w:t>
      </w:r>
      <w:r w:rsidR="00446819">
        <w:rPr>
          <w:rFonts w:cstheme="minorHAnsi"/>
          <w:sz w:val="24"/>
          <w:szCs w:val="24"/>
        </w:rPr>
        <w:t xml:space="preserve">journalistic </w:t>
      </w:r>
      <w:r w:rsidR="003A0CB3">
        <w:rPr>
          <w:rFonts w:cstheme="minorHAnsi"/>
          <w:sz w:val="24"/>
          <w:szCs w:val="24"/>
        </w:rPr>
        <w:t>platform</w:t>
      </w:r>
      <w:r w:rsidR="00446819">
        <w:rPr>
          <w:rFonts w:cstheme="minorHAnsi"/>
          <w:sz w:val="24"/>
          <w:szCs w:val="24"/>
        </w:rPr>
        <w:t>, alongside his ecclesiastical appointment,</w:t>
      </w:r>
      <w:r w:rsidR="003A0CB3">
        <w:rPr>
          <w:rFonts w:cstheme="minorHAnsi"/>
          <w:sz w:val="24"/>
          <w:szCs w:val="24"/>
        </w:rPr>
        <w:t xml:space="preserve"> made him a well-known figure and he even featured on </w:t>
      </w:r>
      <w:r w:rsidR="00212CF3">
        <w:rPr>
          <w:rFonts w:cstheme="minorHAnsi"/>
          <w:sz w:val="24"/>
          <w:szCs w:val="24"/>
        </w:rPr>
        <w:t xml:space="preserve">the cover of </w:t>
      </w:r>
      <w:r w:rsidR="00212CF3">
        <w:rPr>
          <w:rFonts w:cstheme="minorHAnsi"/>
          <w:i/>
          <w:sz w:val="24"/>
          <w:szCs w:val="24"/>
        </w:rPr>
        <w:t xml:space="preserve">Time </w:t>
      </w:r>
      <w:r w:rsidR="00446819">
        <w:rPr>
          <w:rFonts w:cstheme="minorHAnsi"/>
          <w:sz w:val="24"/>
          <w:szCs w:val="24"/>
        </w:rPr>
        <w:t>on</w:t>
      </w:r>
      <w:r w:rsidR="00212CF3">
        <w:rPr>
          <w:rFonts w:cstheme="minorHAnsi"/>
          <w:sz w:val="24"/>
          <w:szCs w:val="24"/>
        </w:rPr>
        <w:t xml:space="preserve"> </w:t>
      </w:r>
      <w:r w:rsidR="003A0CB3">
        <w:rPr>
          <w:rFonts w:cstheme="minorHAnsi"/>
          <w:sz w:val="24"/>
          <w:szCs w:val="24"/>
        </w:rPr>
        <w:t>24 November</w:t>
      </w:r>
      <w:r w:rsidR="003A0CB3" w:rsidRPr="003A0CB3">
        <w:rPr>
          <w:rFonts w:cstheme="minorHAnsi"/>
          <w:sz w:val="24"/>
          <w:szCs w:val="24"/>
        </w:rPr>
        <w:t xml:space="preserve"> 1924</w:t>
      </w:r>
      <w:r w:rsidR="003A0CB3">
        <w:rPr>
          <w:rFonts w:cstheme="minorHAnsi"/>
          <w:sz w:val="24"/>
          <w:szCs w:val="24"/>
        </w:rPr>
        <w:t>.</w:t>
      </w:r>
    </w:p>
    <w:p w:rsidR="00F847B4" w:rsidRDefault="00F847B4" w:rsidP="003412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</w:t>
      </w:r>
      <w:r w:rsidR="0034123B" w:rsidRPr="00A90EBD">
        <w:rPr>
          <w:rFonts w:cstheme="minorHAnsi"/>
          <w:sz w:val="24"/>
          <w:szCs w:val="24"/>
        </w:rPr>
        <w:t xml:space="preserve"> was </w:t>
      </w:r>
      <w:r w:rsidR="008F6A66">
        <w:rPr>
          <w:rFonts w:cstheme="minorHAnsi"/>
          <w:sz w:val="24"/>
          <w:szCs w:val="24"/>
        </w:rPr>
        <w:t xml:space="preserve">also </w:t>
      </w:r>
      <w:r w:rsidR="0034123B" w:rsidRPr="00A90EBD">
        <w:rPr>
          <w:rFonts w:cstheme="minorHAnsi"/>
          <w:sz w:val="24"/>
          <w:szCs w:val="24"/>
        </w:rPr>
        <w:t xml:space="preserve">one of the leading, and most </w:t>
      </w:r>
      <w:r w:rsidR="00446819">
        <w:rPr>
          <w:rFonts w:cstheme="minorHAnsi"/>
          <w:sz w:val="24"/>
          <w:szCs w:val="24"/>
        </w:rPr>
        <w:t>widely-read</w:t>
      </w:r>
      <w:r w:rsidR="0034123B" w:rsidRPr="00A90EBD">
        <w:rPr>
          <w:rFonts w:cstheme="minorHAnsi"/>
          <w:sz w:val="24"/>
          <w:szCs w:val="24"/>
        </w:rPr>
        <w:t>, Anglophone scholars of mysticism at the turn of the twentieth</w:t>
      </w:r>
      <w:r w:rsidR="000022F2">
        <w:rPr>
          <w:rFonts w:cstheme="minorHAnsi"/>
          <w:sz w:val="24"/>
          <w:szCs w:val="24"/>
        </w:rPr>
        <w:t xml:space="preserve"> </w:t>
      </w:r>
      <w:r w:rsidR="0034123B" w:rsidRPr="00A90EBD">
        <w:rPr>
          <w:rFonts w:cstheme="minorHAnsi"/>
          <w:sz w:val="24"/>
          <w:szCs w:val="24"/>
        </w:rPr>
        <w:t>century</w:t>
      </w:r>
      <w:r w:rsidR="00034E72" w:rsidRPr="00A90EBD">
        <w:rPr>
          <w:rFonts w:cstheme="minorHAnsi"/>
          <w:sz w:val="24"/>
          <w:szCs w:val="24"/>
        </w:rPr>
        <w:t xml:space="preserve">, alongside </w:t>
      </w:r>
      <w:r w:rsidR="008F6A66">
        <w:rPr>
          <w:rFonts w:cstheme="minorHAnsi"/>
          <w:sz w:val="24"/>
          <w:szCs w:val="24"/>
        </w:rPr>
        <w:t>William James, Evelyn Underhill a</w:t>
      </w:r>
      <w:r w:rsidR="008F6A66" w:rsidRPr="00A90EBD">
        <w:rPr>
          <w:rFonts w:cstheme="minorHAnsi"/>
          <w:sz w:val="24"/>
          <w:szCs w:val="24"/>
        </w:rPr>
        <w:t>nd Rufus Jones</w:t>
      </w:r>
      <w:r w:rsidR="00446819">
        <w:rPr>
          <w:rFonts w:cstheme="minorHAnsi"/>
          <w:sz w:val="24"/>
          <w:szCs w:val="24"/>
        </w:rPr>
        <w:t xml:space="preserve">. </w:t>
      </w:r>
      <w:proofErr w:type="spellStart"/>
      <w:r w:rsidR="00446819">
        <w:rPr>
          <w:rFonts w:cstheme="minorHAnsi"/>
          <w:sz w:val="24"/>
          <w:szCs w:val="24"/>
        </w:rPr>
        <w:t>Ing</w:t>
      </w:r>
      <w:r w:rsidR="00034E72" w:rsidRPr="00A90EBD">
        <w:rPr>
          <w:rFonts w:cstheme="minorHAnsi"/>
          <w:sz w:val="24"/>
          <w:szCs w:val="24"/>
        </w:rPr>
        <w:t>e</w:t>
      </w:r>
      <w:proofErr w:type="spellEnd"/>
      <w:r w:rsidR="00034E72" w:rsidRPr="00A90EBD">
        <w:rPr>
          <w:rFonts w:cstheme="minorHAnsi"/>
          <w:sz w:val="24"/>
          <w:szCs w:val="24"/>
        </w:rPr>
        <w:t xml:space="preserve"> not only </w:t>
      </w:r>
      <w:r w:rsidR="00212CF3">
        <w:rPr>
          <w:rFonts w:cstheme="minorHAnsi"/>
          <w:sz w:val="24"/>
          <w:szCs w:val="24"/>
        </w:rPr>
        <w:t>analysed the</w:t>
      </w:r>
      <w:r w:rsidR="00034E72" w:rsidRPr="00A90EBD">
        <w:rPr>
          <w:rFonts w:cstheme="minorHAnsi"/>
          <w:sz w:val="24"/>
          <w:szCs w:val="24"/>
        </w:rPr>
        <w:t xml:space="preserve"> mystical tradition but also </w:t>
      </w:r>
      <w:r w:rsidR="00212CF3">
        <w:rPr>
          <w:rFonts w:cstheme="minorHAnsi"/>
          <w:sz w:val="24"/>
          <w:szCs w:val="24"/>
        </w:rPr>
        <w:t xml:space="preserve">published </w:t>
      </w:r>
      <w:r w:rsidR="00034E72" w:rsidRPr="00A90EBD">
        <w:rPr>
          <w:rFonts w:cstheme="minorHAnsi"/>
          <w:sz w:val="24"/>
          <w:szCs w:val="24"/>
        </w:rPr>
        <w:t>an important anthology of German mystical wr</w:t>
      </w:r>
      <w:r w:rsidR="00212CF3">
        <w:rPr>
          <w:rFonts w:cstheme="minorHAnsi"/>
          <w:sz w:val="24"/>
          <w:szCs w:val="24"/>
        </w:rPr>
        <w:t>itings that made Meister Eckhart</w:t>
      </w:r>
      <w:r w:rsidR="00034E72" w:rsidRPr="00A90EBD">
        <w:rPr>
          <w:rFonts w:cstheme="minorHAnsi"/>
          <w:sz w:val="24"/>
          <w:szCs w:val="24"/>
        </w:rPr>
        <w:t>, for instance, available</w:t>
      </w:r>
      <w:r w:rsidR="00446819">
        <w:rPr>
          <w:rFonts w:cstheme="minorHAnsi"/>
          <w:sz w:val="24"/>
          <w:szCs w:val="24"/>
        </w:rPr>
        <w:t>,</w:t>
      </w:r>
      <w:r w:rsidR="00034E72" w:rsidRPr="00A90EBD">
        <w:rPr>
          <w:rFonts w:cstheme="minorHAnsi"/>
          <w:sz w:val="24"/>
          <w:szCs w:val="24"/>
        </w:rPr>
        <w:t xml:space="preserve"> </w:t>
      </w:r>
      <w:r w:rsidR="00212CF3">
        <w:rPr>
          <w:rFonts w:cstheme="minorHAnsi"/>
          <w:sz w:val="24"/>
          <w:szCs w:val="24"/>
        </w:rPr>
        <w:t>to readers</w:t>
      </w:r>
      <w:r w:rsidR="00446819">
        <w:rPr>
          <w:rFonts w:cstheme="minorHAnsi"/>
          <w:sz w:val="24"/>
          <w:szCs w:val="24"/>
        </w:rPr>
        <w:t>,</w:t>
      </w:r>
      <w:r w:rsidR="00212CF3">
        <w:rPr>
          <w:rFonts w:cstheme="minorHAnsi"/>
          <w:sz w:val="24"/>
          <w:szCs w:val="24"/>
        </w:rPr>
        <w:t xml:space="preserve"> </w:t>
      </w:r>
      <w:r w:rsidR="00034E72" w:rsidRPr="00A90EBD">
        <w:rPr>
          <w:rFonts w:cstheme="minorHAnsi"/>
          <w:sz w:val="24"/>
          <w:szCs w:val="24"/>
        </w:rPr>
        <w:t xml:space="preserve">in English. </w:t>
      </w:r>
      <w:r w:rsidR="0034123B" w:rsidRPr="00A90EBD">
        <w:rPr>
          <w:rFonts w:cstheme="minorHAnsi"/>
          <w:sz w:val="24"/>
          <w:szCs w:val="24"/>
        </w:rPr>
        <w:t>His understanding of mysticism, as the title of his Gifford Lectures,</w:t>
      </w:r>
      <w:r w:rsidR="00034E72" w:rsidRPr="00A90EBD">
        <w:rPr>
          <w:rFonts w:cstheme="minorHAnsi"/>
          <w:sz w:val="24"/>
          <w:szCs w:val="24"/>
        </w:rPr>
        <w:t xml:space="preserve"> </w:t>
      </w:r>
      <w:r w:rsidR="00034E72" w:rsidRPr="00212CF3">
        <w:rPr>
          <w:rFonts w:cstheme="minorHAnsi"/>
          <w:i/>
          <w:sz w:val="24"/>
          <w:szCs w:val="24"/>
        </w:rPr>
        <w:t>The</w:t>
      </w:r>
      <w:r w:rsidR="00034E72" w:rsidRPr="00A90EBD">
        <w:rPr>
          <w:rFonts w:cstheme="minorHAnsi"/>
          <w:sz w:val="24"/>
          <w:szCs w:val="24"/>
        </w:rPr>
        <w:t xml:space="preserve"> </w:t>
      </w:r>
      <w:r w:rsidR="00034E72" w:rsidRPr="00A90EBD">
        <w:rPr>
          <w:rFonts w:cstheme="minorHAnsi"/>
          <w:i/>
          <w:sz w:val="24"/>
          <w:szCs w:val="24"/>
        </w:rPr>
        <w:t>Philosophy of Plotinus,</w:t>
      </w:r>
      <w:r w:rsidR="0034123B" w:rsidRPr="00A90EBD">
        <w:rPr>
          <w:rFonts w:cstheme="minorHAnsi"/>
          <w:sz w:val="24"/>
          <w:szCs w:val="24"/>
        </w:rPr>
        <w:t xml:space="preserve"> </w:t>
      </w:r>
      <w:r w:rsidR="00212CF3">
        <w:rPr>
          <w:rFonts w:cstheme="minorHAnsi"/>
          <w:sz w:val="24"/>
          <w:szCs w:val="24"/>
        </w:rPr>
        <w:t>implies,</w:t>
      </w:r>
      <w:r w:rsidR="00034E72" w:rsidRPr="00A90EBD">
        <w:rPr>
          <w:rFonts w:cstheme="minorHAnsi"/>
          <w:sz w:val="24"/>
          <w:szCs w:val="24"/>
        </w:rPr>
        <w:t xml:space="preserve"> was </w:t>
      </w:r>
      <w:r w:rsidR="008F05A6">
        <w:rPr>
          <w:rFonts w:cstheme="minorHAnsi"/>
          <w:sz w:val="24"/>
          <w:szCs w:val="24"/>
        </w:rPr>
        <w:t>moulded by</w:t>
      </w:r>
      <w:r w:rsidR="00034E72" w:rsidRPr="00A90EBD">
        <w:rPr>
          <w:rFonts w:cstheme="minorHAnsi"/>
          <w:sz w:val="24"/>
          <w:szCs w:val="24"/>
        </w:rPr>
        <w:t xml:space="preserve"> the </w:t>
      </w:r>
      <w:r w:rsidR="008F05A6">
        <w:rPr>
          <w:rFonts w:cstheme="minorHAnsi"/>
          <w:sz w:val="24"/>
          <w:szCs w:val="24"/>
        </w:rPr>
        <w:t>contours of</w:t>
      </w:r>
      <w:r w:rsidR="00446819">
        <w:rPr>
          <w:rFonts w:cstheme="minorHAnsi"/>
          <w:sz w:val="24"/>
          <w:szCs w:val="24"/>
        </w:rPr>
        <w:t xml:space="preserve"> </w:t>
      </w:r>
      <w:r w:rsidR="008F05A6">
        <w:rPr>
          <w:rFonts w:cstheme="minorHAnsi"/>
          <w:sz w:val="24"/>
          <w:szCs w:val="24"/>
        </w:rPr>
        <w:t xml:space="preserve">the </w:t>
      </w:r>
      <w:r w:rsidR="00446819">
        <w:rPr>
          <w:rFonts w:cstheme="minorHAnsi"/>
          <w:sz w:val="24"/>
          <w:szCs w:val="24"/>
        </w:rPr>
        <w:t>neo-Plato</w:t>
      </w:r>
      <w:r w:rsidR="008F05A6">
        <w:rPr>
          <w:rFonts w:cstheme="minorHAnsi"/>
          <w:sz w:val="24"/>
          <w:szCs w:val="24"/>
        </w:rPr>
        <w:t>nic influence upon</w:t>
      </w:r>
      <w:r w:rsidR="00034E72" w:rsidRPr="00A90EBD">
        <w:rPr>
          <w:rFonts w:cstheme="minorHAnsi"/>
          <w:sz w:val="24"/>
          <w:szCs w:val="24"/>
        </w:rPr>
        <w:t xml:space="preserve"> Christianity. Yet, his</w:t>
      </w:r>
      <w:r>
        <w:rPr>
          <w:rFonts w:cstheme="minorHAnsi"/>
          <w:sz w:val="24"/>
          <w:szCs w:val="24"/>
        </w:rPr>
        <w:t xml:space="preserve"> explorations of mysticism were not limited to, or confined by, historical scholarship. </w:t>
      </w:r>
      <w:proofErr w:type="spellStart"/>
      <w:r>
        <w:rPr>
          <w:rFonts w:cstheme="minorHAnsi"/>
          <w:sz w:val="24"/>
          <w:szCs w:val="24"/>
        </w:rPr>
        <w:t>Inge</w:t>
      </w:r>
      <w:proofErr w:type="spellEnd"/>
      <w:r w:rsidR="00034E72" w:rsidRPr="00A90EBD">
        <w:rPr>
          <w:rFonts w:cstheme="minorHAnsi"/>
          <w:sz w:val="24"/>
          <w:szCs w:val="24"/>
        </w:rPr>
        <w:t xml:space="preserve"> was a theological </w:t>
      </w:r>
      <w:r w:rsidR="003A0CB3">
        <w:rPr>
          <w:rFonts w:cstheme="minorHAnsi"/>
          <w:sz w:val="24"/>
          <w:szCs w:val="24"/>
        </w:rPr>
        <w:t>liberal</w:t>
      </w:r>
      <w:r w:rsidR="00034E72" w:rsidRPr="00A90EBD">
        <w:rPr>
          <w:rFonts w:cstheme="minorHAnsi"/>
          <w:sz w:val="24"/>
          <w:szCs w:val="24"/>
        </w:rPr>
        <w:t xml:space="preserve">, associated with </w:t>
      </w:r>
      <w:r w:rsidR="00212CF3">
        <w:rPr>
          <w:rFonts w:cstheme="minorHAnsi"/>
          <w:sz w:val="24"/>
          <w:szCs w:val="24"/>
        </w:rPr>
        <w:t xml:space="preserve">the Anglican theological modernist journal </w:t>
      </w:r>
      <w:r w:rsidR="00034E72" w:rsidRPr="00A90EBD">
        <w:rPr>
          <w:rFonts w:cstheme="minorHAnsi"/>
          <w:i/>
          <w:sz w:val="24"/>
          <w:szCs w:val="24"/>
        </w:rPr>
        <w:t>The Modern Churchman</w:t>
      </w:r>
      <w:r w:rsidR="00034E72" w:rsidRPr="00A90EBD">
        <w:rPr>
          <w:rFonts w:cstheme="minorHAnsi"/>
          <w:sz w:val="24"/>
          <w:szCs w:val="24"/>
        </w:rPr>
        <w:t xml:space="preserve">, </w:t>
      </w:r>
      <w:r w:rsidR="00212CF3">
        <w:rPr>
          <w:rFonts w:cstheme="minorHAnsi"/>
          <w:sz w:val="24"/>
          <w:szCs w:val="24"/>
        </w:rPr>
        <w:t>and he considered it important that congregations engage with the Christian mystical tradition</w:t>
      </w:r>
      <w:r>
        <w:rPr>
          <w:rFonts w:cstheme="minorHAnsi"/>
          <w:sz w:val="24"/>
          <w:szCs w:val="24"/>
        </w:rPr>
        <w:t xml:space="preserve">; the Church needed, in his view, to afford the faithful a more immediate form of religious encounter than had been available to the </w:t>
      </w:r>
      <w:r w:rsidR="008F06B3">
        <w:rPr>
          <w:rFonts w:cstheme="minorHAnsi"/>
          <w:sz w:val="24"/>
          <w:szCs w:val="24"/>
        </w:rPr>
        <w:t>masses</w:t>
      </w:r>
      <w:r>
        <w:rPr>
          <w:rFonts w:cstheme="minorHAnsi"/>
          <w:sz w:val="24"/>
          <w:szCs w:val="24"/>
        </w:rPr>
        <w:t xml:space="preserve"> in the past. </w:t>
      </w:r>
      <w:r w:rsidR="00212CF3">
        <w:rPr>
          <w:rFonts w:cstheme="minorHAnsi"/>
          <w:sz w:val="24"/>
          <w:szCs w:val="24"/>
        </w:rPr>
        <w:t xml:space="preserve"> </w:t>
      </w:r>
    </w:p>
    <w:p w:rsidR="00034E72" w:rsidRPr="00A90EBD" w:rsidRDefault="00034E72" w:rsidP="0034123B">
      <w:pPr>
        <w:rPr>
          <w:rFonts w:cstheme="minorHAnsi"/>
          <w:sz w:val="24"/>
          <w:szCs w:val="24"/>
        </w:rPr>
      </w:pPr>
      <w:proofErr w:type="spellStart"/>
      <w:r w:rsidRPr="00A90EBD">
        <w:rPr>
          <w:rFonts w:cstheme="minorHAnsi"/>
          <w:sz w:val="24"/>
          <w:szCs w:val="24"/>
        </w:rPr>
        <w:t>Inge</w:t>
      </w:r>
      <w:r w:rsidR="00F847B4">
        <w:rPr>
          <w:rFonts w:cstheme="minorHAnsi"/>
          <w:sz w:val="24"/>
          <w:szCs w:val="24"/>
        </w:rPr>
        <w:t>’s</w:t>
      </w:r>
      <w:proofErr w:type="spellEnd"/>
      <w:r w:rsidR="00F847B4">
        <w:rPr>
          <w:rFonts w:cstheme="minorHAnsi"/>
          <w:sz w:val="24"/>
          <w:szCs w:val="24"/>
        </w:rPr>
        <w:t xml:space="preserve"> Bampton lectures entitled </w:t>
      </w:r>
      <w:r w:rsidRPr="00A90EBD">
        <w:rPr>
          <w:rFonts w:cstheme="minorHAnsi"/>
          <w:i/>
          <w:sz w:val="24"/>
          <w:szCs w:val="24"/>
        </w:rPr>
        <w:t>Christian Mysticism</w:t>
      </w:r>
      <w:r w:rsidR="00096145">
        <w:rPr>
          <w:rFonts w:cstheme="minorHAnsi"/>
          <w:sz w:val="24"/>
          <w:szCs w:val="24"/>
        </w:rPr>
        <w:t xml:space="preserve"> were published in 1899</w:t>
      </w:r>
      <w:r w:rsidRPr="00A90EBD">
        <w:rPr>
          <w:rFonts w:cstheme="minorHAnsi"/>
          <w:sz w:val="24"/>
          <w:szCs w:val="24"/>
        </w:rPr>
        <w:t xml:space="preserve"> and served as important source texts </w:t>
      </w:r>
      <w:r w:rsidR="00F847B4">
        <w:rPr>
          <w:rFonts w:cstheme="minorHAnsi"/>
          <w:sz w:val="24"/>
          <w:szCs w:val="24"/>
        </w:rPr>
        <w:t xml:space="preserve">for </w:t>
      </w:r>
      <w:r w:rsidRPr="00A90EBD">
        <w:rPr>
          <w:rFonts w:cstheme="minorHAnsi"/>
          <w:sz w:val="24"/>
          <w:szCs w:val="24"/>
        </w:rPr>
        <w:t xml:space="preserve">both T.S. Eliot and Samuel Beckett. </w:t>
      </w:r>
      <w:r w:rsidR="00AE1924" w:rsidRPr="00A90EBD">
        <w:rPr>
          <w:rFonts w:cstheme="minorHAnsi"/>
          <w:sz w:val="24"/>
          <w:szCs w:val="24"/>
        </w:rPr>
        <w:t xml:space="preserve">Beckett read </w:t>
      </w:r>
      <w:proofErr w:type="spellStart"/>
      <w:r w:rsidR="00AE1924" w:rsidRPr="00A90EBD">
        <w:rPr>
          <w:rFonts w:cstheme="minorHAnsi"/>
          <w:sz w:val="24"/>
          <w:szCs w:val="24"/>
        </w:rPr>
        <w:t>Inge</w:t>
      </w:r>
      <w:proofErr w:type="spellEnd"/>
      <w:r w:rsidR="00AE1924" w:rsidRPr="00A90EBD">
        <w:rPr>
          <w:rFonts w:cstheme="minorHAnsi"/>
          <w:sz w:val="24"/>
          <w:szCs w:val="24"/>
        </w:rPr>
        <w:t xml:space="preserve"> in 1930-1931 during the composition of </w:t>
      </w:r>
      <w:r w:rsidR="008F06B3" w:rsidRPr="008F06B3">
        <w:rPr>
          <w:rFonts w:cstheme="minorHAnsi"/>
          <w:i/>
          <w:sz w:val="24"/>
          <w:szCs w:val="24"/>
        </w:rPr>
        <w:t xml:space="preserve">Dream of Fair to Middling Women </w:t>
      </w:r>
      <w:r w:rsidR="00791828" w:rsidRPr="00A90EBD">
        <w:rPr>
          <w:rFonts w:cstheme="minorHAnsi"/>
          <w:sz w:val="24"/>
          <w:szCs w:val="24"/>
        </w:rPr>
        <w:t xml:space="preserve">and Eliot made notes on the volume as a graduate student. Eliot also </w:t>
      </w:r>
      <w:r w:rsidR="009D6607">
        <w:rPr>
          <w:rFonts w:cstheme="minorHAnsi"/>
          <w:sz w:val="24"/>
          <w:szCs w:val="24"/>
        </w:rPr>
        <w:t>encountered</w:t>
      </w:r>
      <w:r w:rsidR="00791828" w:rsidRPr="00A90EBD">
        <w:rPr>
          <w:rFonts w:cstheme="minorHAnsi"/>
          <w:sz w:val="24"/>
          <w:szCs w:val="24"/>
        </w:rPr>
        <w:t xml:space="preserve"> </w:t>
      </w:r>
      <w:proofErr w:type="spellStart"/>
      <w:r w:rsidR="00791828" w:rsidRPr="00A90EBD">
        <w:rPr>
          <w:rFonts w:cstheme="minorHAnsi"/>
          <w:sz w:val="24"/>
          <w:szCs w:val="24"/>
        </w:rPr>
        <w:t>Inge’s</w:t>
      </w:r>
      <w:proofErr w:type="spellEnd"/>
      <w:r w:rsidR="00791828" w:rsidRPr="00A90EBD">
        <w:rPr>
          <w:rFonts w:cstheme="minorHAnsi"/>
          <w:sz w:val="24"/>
          <w:szCs w:val="24"/>
        </w:rPr>
        <w:t xml:space="preserve"> </w:t>
      </w:r>
      <w:r w:rsidR="00791828" w:rsidRPr="00A90EBD">
        <w:rPr>
          <w:rFonts w:cstheme="minorHAnsi"/>
          <w:i/>
          <w:sz w:val="24"/>
          <w:szCs w:val="24"/>
        </w:rPr>
        <w:t xml:space="preserve">Studies </w:t>
      </w:r>
      <w:r w:rsidR="000022F2">
        <w:rPr>
          <w:rFonts w:cstheme="minorHAnsi"/>
          <w:i/>
          <w:sz w:val="24"/>
          <w:szCs w:val="24"/>
        </w:rPr>
        <w:t>of</w:t>
      </w:r>
      <w:r w:rsidR="00791828" w:rsidRPr="00A90EBD">
        <w:rPr>
          <w:rFonts w:cstheme="minorHAnsi"/>
          <w:i/>
          <w:sz w:val="24"/>
          <w:szCs w:val="24"/>
        </w:rPr>
        <w:t xml:space="preserve"> English Mystics</w:t>
      </w:r>
      <w:r w:rsidR="00791828" w:rsidRPr="00A90EBD">
        <w:rPr>
          <w:rFonts w:cstheme="minorHAnsi"/>
          <w:sz w:val="24"/>
          <w:szCs w:val="24"/>
        </w:rPr>
        <w:t xml:space="preserve"> during the same period; the volume served as</w:t>
      </w:r>
      <w:r w:rsidR="00446819">
        <w:rPr>
          <w:rFonts w:cstheme="minorHAnsi"/>
          <w:sz w:val="24"/>
          <w:szCs w:val="24"/>
        </w:rPr>
        <w:t xml:space="preserve"> an introduction to the </w:t>
      </w:r>
      <w:r w:rsidR="00675F18">
        <w:rPr>
          <w:rFonts w:cstheme="minorHAnsi"/>
          <w:sz w:val="24"/>
          <w:szCs w:val="24"/>
        </w:rPr>
        <w:t>fourteenth</w:t>
      </w:r>
      <w:r w:rsidR="009F4C8F">
        <w:rPr>
          <w:rFonts w:cstheme="minorHAnsi"/>
          <w:sz w:val="24"/>
          <w:szCs w:val="24"/>
        </w:rPr>
        <w:t>-</w:t>
      </w:r>
      <w:bookmarkStart w:id="0" w:name="_GoBack"/>
      <w:bookmarkEnd w:id="0"/>
      <w:r w:rsidR="00675F18">
        <w:rPr>
          <w:rFonts w:cstheme="minorHAnsi"/>
          <w:sz w:val="24"/>
          <w:szCs w:val="24"/>
        </w:rPr>
        <w:t xml:space="preserve"> and fifteenth-century </w:t>
      </w:r>
      <w:r w:rsidR="00446819">
        <w:rPr>
          <w:rFonts w:cstheme="minorHAnsi"/>
          <w:sz w:val="24"/>
          <w:szCs w:val="24"/>
        </w:rPr>
        <w:t>English mystics who</w:t>
      </w:r>
      <w:r w:rsidR="00791828" w:rsidRPr="00A90EBD">
        <w:rPr>
          <w:rFonts w:cstheme="minorHAnsi"/>
          <w:sz w:val="24"/>
          <w:szCs w:val="24"/>
        </w:rPr>
        <w:t xml:space="preserve"> would become important to Eliot </w:t>
      </w:r>
      <w:r w:rsidR="00446819">
        <w:rPr>
          <w:rFonts w:cstheme="minorHAnsi"/>
          <w:sz w:val="24"/>
          <w:szCs w:val="24"/>
        </w:rPr>
        <w:t>after his baptism and, notably, during the composition of</w:t>
      </w:r>
      <w:r w:rsidR="00791828" w:rsidRPr="00A90EBD">
        <w:rPr>
          <w:rFonts w:cstheme="minorHAnsi"/>
          <w:sz w:val="24"/>
          <w:szCs w:val="24"/>
        </w:rPr>
        <w:t xml:space="preserve"> ‘Little </w:t>
      </w:r>
      <w:proofErr w:type="spellStart"/>
      <w:r w:rsidR="00791828" w:rsidRPr="00A90EBD">
        <w:rPr>
          <w:rFonts w:cstheme="minorHAnsi"/>
          <w:sz w:val="24"/>
          <w:szCs w:val="24"/>
        </w:rPr>
        <w:t>Gidding</w:t>
      </w:r>
      <w:proofErr w:type="spellEnd"/>
      <w:r w:rsidR="00791828" w:rsidRPr="00A90EBD">
        <w:rPr>
          <w:rFonts w:cstheme="minorHAnsi"/>
          <w:sz w:val="24"/>
          <w:szCs w:val="24"/>
        </w:rPr>
        <w:t xml:space="preserve">’. </w:t>
      </w:r>
    </w:p>
    <w:p w:rsidR="00A17F08" w:rsidRPr="00A90EBD" w:rsidRDefault="006F24B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Selected </w:t>
      </w:r>
      <w:r w:rsidR="00791828" w:rsidRPr="00A90EBD">
        <w:rPr>
          <w:rFonts w:cstheme="minorHAnsi"/>
          <w:b/>
          <w:sz w:val="24"/>
          <w:szCs w:val="24"/>
        </w:rPr>
        <w:t xml:space="preserve">Works </w:t>
      </w:r>
    </w:p>
    <w:p w:rsidR="00791828" w:rsidRPr="00A90EBD" w:rsidRDefault="00791828" w:rsidP="00791828">
      <w:pPr>
        <w:rPr>
          <w:rFonts w:cstheme="minorHAnsi"/>
          <w:sz w:val="24"/>
          <w:szCs w:val="24"/>
        </w:rPr>
      </w:pPr>
      <w:proofErr w:type="gramStart"/>
      <w:r w:rsidRPr="00A90EBD">
        <w:rPr>
          <w:rFonts w:cstheme="minorHAnsi"/>
          <w:i/>
          <w:sz w:val="24"/>
          <w:szCs w:val="24"/>
        </w:rPr>
        <w:t>Christian Mysticism</w:t>
      </w:r>
      <w:r w:rsidRPr="00A90EBD">
        <w:rPr>
          <w:rFonts w:cstheme="minorHAnsi"/>
          <w:sz w:val="24"/>
          <w:szCs w:val="24"/>
        </w:rPr>
        <w:t xml:space="preserve"> (London: Methuen, 1899).</w:t>
      </w:r>
      <w:proofErr w:type="gramEnd"/>
    </w:p>
    <w:p w:rsidR="00B82C0A" w:rsidRPr="00A90EBD" w:rsidRDefault="009F4C8F" w:rsidP="00791828">
      <w:pPr>
        <w:rPr>
          <w:rFonts w:cstheme="minorHAnsi"/>
          <w:sz w:val="24"/>
          <w:szCs w:val="24"/>
        </w:rPr>
      </w:pPr>
      <w:hyperlink r:id="rId6" w:history="1">
        <w:r w:rsidR="00B82C0A" w:rsidRPr="00A90EBD">
          <w:rPr>
            <w:rStyle w:val="Hyperlink"/>
            <w:rFonts w:cstheme="minorHAnsi"/>
            <w:sz w:val="24"/>
            <w:szCs w:val="24"/>
          </w:rPr>
          <w:t>http://www.gutenberg.org/ebooks/14596</w:t>
        </w:r>
      </w:hyperlink>
    </w:p>
    <w:p w:rsidR="008F05A6" w:rsidRPr="009D6607" w:rsidRDefault="008F05A6" w:rsidP="008F05A6">
      <w:pPr>
        <w:rPr>
          <w:rFonts w:cstheme="minorHAnsi"/>
          <w:sz w:val="24"/>
          <w:szCs w:val="24"/>
        </w:rPr>
      </w:pPr>
      <w:r w:rsidRPr="008F05A6">
        <w:rPr>
          <w:rFonts w:cstheme="minorHAnsi"/>
          <w:i/>
          <w:sz w:val="24"/>
          <w:szCs w:val="24"/>
        </w:rPr>
        <w:lastRenderedPageBreak/>
        <w:t>Light, Life and Love: Selections from the German Mystics o</w:t>
      </w:r>
      <w:r w:rsidR="009D6607">
        <w:rPr>
          <w:rFonts w:cstheme="minorHAnsi"/>
          <w:i/>
          <w:sz w:val="24"/>
          <w:szCs w:val="24"/>
        </w:rPr>
        <w:t xml:space="preserve">f the </w:t>
      </w:r>
      <w:proofErr w:type="gramStart"/>
      <w:r w:rsidR="009D6607">
        <w:rPr>
          <w:rFonts w:cstheme="minorHAnsi"/>
          <w:i/>
          <w:sz w:val="24"/>
          <w:szCs w:val="24"/>
        </w:rPr>
        <w:t>Middle Ages</w:t>
      </w:r>
      <w:proofErr w:type="gramEnd"/>
      <w:r w:rsidR="009D6607">
        <w:rPr>
          <w:rFonts w:cstheme="minorHAnsi"/>
          <w:i/>
          <w:sz w:val="24"/>
          <w:szCs w:val="24"/>
        </w:rPr>
        <w:t xml:space="preserve"> </w:t>
      </w:r>
      <w:r w:rsidR="009D6607" w:rsidRPr="009D6607">
        <w:rPr>
          <w:rFonts w:cstheme="minorHAnsi"/>
          <w:sz w:val="24"/>
          <w:szCs w:val="24"/>
        </w:rPr>
        <w:t>(London: Meth</w:t>
      </w:r>
      <w:r w:rsidRPr="009D6607">
        <w:rPr>
          <w:rFonts w:cstheme="minorHAnsi"/>
          <w:sz w:val="24"/>
          <w:szCs w:val="24"/>
        </w:rPr>
        <w:t>u</w:t>
      </w:r>
      <w:r w:rsidR="009D6607" w:rsidRPr="009D6607">
        <w:rPr>
          <w:rFonts w:cstheme="minorHAnsi"/>
          <w:sz w:val="24"/>
          <w:szCs w:val="24"/>
        </w:rPr>
        <w:t>e</w:t>
      </w:r>
      <w:r w:rsidRPr="009D6607">
        <w:rPr>
          <w:rFonts w:cstheme="minorHAnsi"/>
          <w:sz w:val="24"/>
          <w:szCs w:val="24"/>
        </w:rPr>
        <w:t>n, 1904)</w:t>
      </w:r>
      <w:r w:rsidR="009D6607">
        <w:rPr>
          <w:rFonts w:cstheme="minorHAnsi"/>
          <w:sz w:val="24"/>
          <w:szCs w:val="24"/>
        </w:rPr>
        <w:t>.</w:t>
      </w:r>
    </w:p>
    <w:p w:rsidR="008F05A6" w:rsidRDefault="009F4C8F" w:rsidP="008F05A6">
      <w:pPr>
        <w:rPr>
          <w:rFonts w:cstheme="minorHAnsi"/>
          <w:sz w:val="24"/>
          <w:szCs w:val="24"/>
        </w:rPr>
      </w:pPr>
      <w:hyperlink r:id="rId7" w:history="1">
        <w:r w:rsidR="009D6607" w:rsidRPr="004E0EA1">
          <w:rPr>
            <w:rStyle w:val="Hyperlink"/>
            <w:rFonts w:cstheme="minorHAnsi"/>
            <w:sz w:val="24"/>
            <w:szCs w:val="24"/>
          </w:rPr>
          <w:t>https://archive.org/details/lightlifeandlov00ingegoog</w:t>
        </w:r>
      </w:hyperlink>
    </w:p>
    <w:p w:rsidR="00075C0B" w:rsidRPr="00A90EBD" w:rsidRDefault="00075C0B" w:rsidP="00791828">
      <w:pPr>
        <w:rPr>
          <w:rFonts w:cstheme="minorHAnsi"/>
          <w:sz w:val="24"/>
          <w:szCs w:val="24"/>
        </w:rPr>
      </w:pPr>
      <w:proofErr w:type="gramStart"/>
      <w:r w:rsidRPr="00A90EBD">
        <w:rPr>
          <w:rFonts w:cstheme="minorHAnsi"/>
          <w:i/>
          <w:sz w:val="24"/>
          <w:szCs w:val="24"/>
        </w:rPr>
        <w:t xml:space="preserve">Studies of English Mystics </w:t>
      </w:r>
      <w:r w:rsidRPr="00A90EBD">
        <w:rPr>
          <w:rFonts w:cstheme="minorHAnsi"/>
          <w:sz w:val="24"/>
          <w:szCs w:val="24"/>
        </w:rPr>
        <w:t xml:space="preserve">(London: John </w:t>
      </w:r>
      <w:proofErr w:type="spellStart"/>
      <w:r w:rsidRPr="00A90EBD">
        <w:rPr>
          <w:rFonts w:cstheme="minorHAnsi"/>
          <w:sz w:val="24"/>
          <w:szCs w:val="24"/>
        </w:rPr>
        <w:t>Murry</w:t>
      </w:r>
      <w:proofErr w:type="spellEnd"/>
      <w:r w:rsidRPr="00A90EBD">
        <w:rPr>
          <w:rFonts w:cstheme="minorHAnsi"/>
          <w:sz w:val="24"/>
          <w:szCs w:val="24"/>
        </w:rPr>
        <w:t>, 1906)</w:t>
      </w:r>
      <w:r w:rsidR="009D6607">
        <w:rPr>
          <w:rFonts w:cstheme="minorHAnsi"/>
          <w:sz w:val="24"/>
          <w:szCs w:val="24"/>
        </w:rPr>
        <w:t>.</w:t>
      </w:r>
      <w:proofErr w:type="gramEnd"/>
    </w:p>
    <w:p w:rsidR="00B82C0A" w:rsidRPr="00A90EBD" w:rsidRDefault="009F4C8F" w:rsidP="00791828">
      <w:pPr>
        <w:rPr>
          <w:rFonts w:cstheme="minorHAnsi"/>
          <w:sz w:val="24"/>
          <w:szCs w:val="24"/>
        </w:rPr>
      </w:pPr>
      <w:hyperlink r:id="rId8" w:history="1">
        <w:r w:rsidR="00B82C0A" w:rsidRPr="00A90EBD">
          <w:rPr>
            <w:rStyle w:val="Hyperlink"/>
            <w:rFonts w:cstheme="minorHAnsi"/>
            <w:sz w:val="24"/>
            <w:szCs w:val="24"/>
          </w:rPr>
          <w:t>https://archive.org/details/cu31924029351453</w:t>
        </w:r>
      </w:hyperlink>
    </w:p>
    <w:p w:rsidR="00075C0B" w:rsidRPr="00A90EBD" w:rsidRDefault="00B82C0A" w:rsidP="00791828">
      <w:pPr>
        <w:rPr>
          <w:rFonts w:cstheme="minorHAnsi"/>
          <w:sz w:val="24"/>
          <w:szCs w:val="24"/>
        </w:rPr>
      </w:pPr>
      <w:proofErr w:type="gramStart"/>
      <w:r w:rsidRPr="00A90EBD">
        <w:rPr>
          <w:rFonts w:cstheme="minorHAnsi"/>
          <w:i/>
          <w:sz w:val="24"/>
          <w:szCs w:val="24"/>
        </w:rPr>
        <w:t>The Philosophy of Plotinus</w:t>
      </w:r>
      <w:r w:rsidR="000022F2">
        <w:rPr>
          <w:rFonts w:cstheme="minorHAnsi"/>
          <w:sz w:val="24"/>
          <w:szCs w:val="24"/>
        </w:rPr>
        <w:t>.</w:t>
      </w:r>
      <w:proofErr w:type="gramEnd"/>
      <w:r w:rsidRPr="00A90EBD">
        <w:rPr>
          <w:rFonts w:cstheme="minorHAnsi"/>
          <w:sz w:val="24"/>
          <w:szCs w:val="24"/>
        </w:rPr>
        <w:t xml:space="preserve"> 2 Vols. (London: Longmans, 1918)</w:t>
      </w:r>
      <w:r w:rsidR="009D6607">
        <w:rPr>
          <w:rFonts w:cstheme="minorHAnsi"/>
          <w:sz w:val="24"/>
          <w:szCs w:val="24"/>
        </w:rPr>
        <w:t>.</w:t>
      </w:r>
    </w:p>
    <w:p w:rsidR="00B82C0A" w:rsidRPr="00A90EBD" w:rsidRDefault="009F4C8F" w:rsidP="00791828">
      <w:pPr>
        <w:rPr>
          <w:rFonts w:cstheme="minorHAnsi"/>
          <w:sz w:val="24"/>
          <w:szCs w:val="24"/>
        </w:rPr>
      </w:pPr>
      <w:hyperlink r:id="rId9" w:history="1">
        <w:r w:rsidR="00B82C0A" w:rsidRPr="00A90EBD">
          <w:rPr>
            <w:rStyle w:val="Hyperlink"/>
            <w:rFonts w:cstheme="minorHAnsi"/>
            <w:sz w:val="24"/>
            <w:szCs w:val="24"/>
          </w:rPr>
          <w:t>https://archive.org/details/philosophyofplot01inge</w:t>
        </w:r>
      </w:hyperlink>
    </w:p>
    <w:p w:rsidR="00B82C0A" w:rsidRPr="00A90EBD" w:rsidRDefault="009F4C8F" w:rsidP="00791828">
      <w:pPr>
        <w:rPr>
          <w:rFonts w:cstheme="minorHAnsi"/>
          <w:sz w:val="24"/>
          <w:szCs w:val="24"/>
        </w:rPr>
      </w:pPr>
      <w:hyperlink r:id="rId10" w:history="1">
        <w:r w:rsidR="00B82C0A" w:rsidRPr="00A90EBD">
          <w:rPr>
            <w:rStyle w:val="Hyperlink"/>
            <w:rFonts w:cstheme="minorHAnsi"/>
            <w:sz w:val="24"/>
            <w:szCs w:val="24"/>
          </w:rPr>
          <w:t>https://archive.org/details/philosophyofplot032854mbp</w:t>
        </w:r>
      </w:hyperlink>
    </w:p>
    <w:p w:rsidR="00B82C0A" w:rsidRDefault="009F4C8F" w:rsidP="00791828">
      <w:pPr>
        <w:rPr>
          <w:rFonts w:cstheme="minorHAnsi"/>
          <w:sz w:val="24"/>
          <w:szCs w:val="24"/>
        </w:rPr>
      </w:pPr>
      <w:hyperlink r:id="rId11" w:history="1">
        <w:r w:rsidR="008F05A6" w:rsidRPr="004E0EA1">
          <w:rPr>
            <w:rStyle w:val="Hyperlink"/>
            <w:rFonts w:cstheme="minorHAnsi"/>
            <w:sz w:val="24"/>
            <w:szCs w:val="24"/>
          </w:rPr>
          <w:t>http://www.giffordlectures.org/lectures/philosophy-plotinus-vol-1</w:t>
        </w:r>
      </w:hyperlink>
    </w:p>
    <w:p w:rsidR="008F05A6" w:rsidRDefault="009F4C8F" w:rsidP="00791828">
      <w:pPr>
        <w:rPr>
          <w:rFonts w:cstheme="minorHAnsi"/>
          <w:sz w:val="24"/>
          <w:szCs w:val="24"/>
        </w:rPr>
      </w:pPr>
      <w:hyperlink r:id="rId12" w:history="1">
        <w:r w:rsidR="008F05A6" w:rsidRPr="004E0EA1">
          <w:rPr>
            <w:rStyle w:val="Hyperlink"/>
            <w:rFonts w:cstheme="minorHAnsi"/>
            <w:sz w:val="24"/>
            <w:szCs w:val="24"/>
          </w:rPr>
          <w:t>http://www.giffordlectures.org/lectures/philosophy-plotinus-vol-2</w:t>
        </w:r>
      </w:hyperlink>
    </w:p>
    <w:p w:rsidR="008F05A6" w:rsidRPr="00A90EBD" w:rsidRDefault="008F05A6" w:rsidP="00791828">
      <w:pPr>
        <w:rPr>
          <w:rFonts w:cstheme="minorHAnsi"/>
          <w:sz w:val="24"/>
          <w:szCs w:val="24"/>
        </w:rPr>
      </w:pPr>
    </w:p>
    <w:p w:rsidR="00B82C0A" w:rsidRPr="00A90EBD" w:rsidRDefault="00B82C0A" w:rsidP="00791828">
      <w:pPr>
        <w:rPr>
          <w:rFonts w:cstheme="minorHAnsi"/>
          <w:b/>
          <w:sz w:val="24"/>
          <w:szCs w:val="24"/>
        </w:rPr>
      </w:pPr>
      <w:r w:rsidRPr="00A90EBD">
        <w:rPr>
          <w:rFonts w:cstheme="minorHAnsi"/>
          <w:b/>
          <w:sz w:val="24"/>
          <w:szCs w:val="24"/>
        </w:rPr>
        <w:t>Further Reading</w:t>
      </w:r>
    </w:p>
    <w:p w:rsidR="00B82C0A" w:rsidRDefault="005C1063" w:rsidP="00791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Gordon, </w:t>
      </w:r>
      <w:proofErr w:type="spellStart"/>
      <w:r w:rsidR="006F24B6">
        <w:rPr>
          <w:rFonts w:cstheme="minorHAnsi"/>
          <w:sz w:val="24"/>
          <w:szCs w:val="24"/>
        </w:rPr>
        <w:t>Lyndall</w:t>
      </w:r>
      <w:proofErr w:type="spellEnd"/>
      <w:r w:rsidR="006F24B6">
        <w:rPr>
          <w:rFonts w:cstheme="minorHAnsi"/>
          <w:sz w:val="24"/>
          <w:szCs w:val="24"/>
        </w:rPr>
        <w:t xml:space="preserve"> (1977). </w:t>
      </w:r>
      <w:r w:rsidR="008F05A6">
        <w:rPr>
          <w:rFonts w:cstheme="minorHAnsi"/>
          <w:i/>
          <w:sz w:val="24"/>
          <w:szCs w:val="24"/>
        </w:rPr>
        <w:t>Eliot’s</w:t>
      </w:r>
      <w:r w:rsidRPr="005C1063">
        <w:rPr>
          <w:rFonts w:cstheme="minorHAnsi"/>
          <w:i/>
          <w:sz w:val="24"/>
          <w:szCs w:val="24"/>
        </w:rPr>
        <w:t xml:space="preserve"> Early Years</w:t>
      </w:r>
      <w:r w:rsidR="006F24B6">
        <w:rPr>
          <w:rFonts w:cstheme="minorHAnsi"/>
          <w:sz w:val="24"/>
          <w:szCs w:val="24"/>
        </w:rPr>
        <w:t>. Oxford.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Oxford </w:t>
      </w:r>
      <w:r w:rsidR="006F24B6">
        <w:rPr>
          <w:rFonts w:cstheme="minorHAnsi"/>
          <w:sz w:val="24"/>
          <w:szCs w:val="24"/>
        </w:rPr>
        <w:t>University Press</w:t>
      </w:r>
      <w:r w:rsidR="00675F18">
        <w:rPr>
          <w:rFonts w:cstheme="minorHAnsi"/>
          <w:sz w:val="24"/>
          <w:szCs w:val="24"/>
        </w:rPr>
        <w:t>.</w:t>
      </w:r>
      <w:proofErr w:type="gramEnd"/>
    </w:p>
    <w:p w:rsidR="006F24B6" w:rsidRDefault="006F24B6" w:rsidP="00791828">
      <w:pPr>
        <w:rPr>
          <w:rFonts w:cstheme="minorHAnsi"/>
          <w:sz w:val="24"/>
          <w:szCs w:val="24"/>
        </w:rPr>
      </w:pPr>
      <w:proofErr w:type="gramStart"/>
      <w:r w:rsidRPr="006F24B6">
        <w:rPr>
          <w:rFonts w:cstheme="minorHAnsi"/>
          <w:sz w:val="24"/>
          <w:szCs w:val="24"/>
        </w:rPr>
        <w:t>Helm, Robert M. (1962).</w:t>
      </w:r>
      <w:proofErr w:type="gramEnd"/>
      <w:r w:rsidRPr="006F24B6">
        <w:rPr>
          <w:rFonts w:cstheme="minorHAnsi"/>
          <w:sz w:val="24"/>
          <w:szCs w:val="24"/>
        </w:rPr>
        <w:t xml:space="preserve"> </w:t>
      </w:r>
      <w:r w:rsidRPr="006F24B6">
        <w:rPr>
          <w:rFonts w:cstheme="minorHAnsi"/>
          <w:i/>
          <w:sz w:val="24"/>
          <w:szCs w:val="24"/>
        </w:rPr>
        <w:t xml:space="preserve">The Gloomy Dean: The Thought of William Ralph </w:t>
      </w:r>
      <w:proofErr w:type="spellStart"/>
      <w:r w:rsidRPr="006F24B6">
        <w:rPr>
          <w:rFonts w:cstheme="minorHAnsi"/>
          <w:i/>
          <w:sz w:val="24"/>
          <w:szCs w:val="24"/>
        </w:rPr>
        <w:t>Inge</w:t>
      </w:r>
      <w:proofErr w:type="spellEnd"/>
      <w:r w:rsidRPr="006F24B6">
        <w:rPr>
          <w:rFonts w:cstheme="minorHAnsi"/>
          <w:sz w:val="24"/>
          <w:szCs w:val="24"/>
        </w:rPr>
        <w:t>. Winston-Salem. John F. Blair.</w:t>
      </w:r>
    </w:p>
    <w:p w:rsidR="005C1063" w:rsidRPr="005C1063" w:rsidRDefault="005C1063" w:rsidP="005C1063">
      <w:pPr>
        <w:rPr>
          <w:rFonts w:cstheme="minorHAnsi"/>
          <w:i/>
          <w:sz w:val="24"/>
          <w:szCs w:val="24"/>
        </w:rPr>
      </w:pPr>
      <w:proofErr w:type="spellStart"/>
      <w:r w:rsidRPr="005C1063">
        <w:rPr>
          <w:rFonts w:cstheme="minorHAnsi"/>
          <w:sz w:val="24"/>
          <w:szCs w:val="24"/>
        </w:rPr>
        <w:t>Tonning</w:t>
      </w:r>
      <w:proofErr w:type="spellEnd"/>
      <w:r w:rsidR="00675F18">
        <w:rPr>
          <w:rFonts w:cstheme="minorHAnsi"/>
          <w:sz w:val="24"/>
          <w:szCs w:val="24"/>
        </w:rPr>
        <w:t>,</w:t>
      </w:r>
      <w:r w:rsidR="006F24B6">
        <w:rPr>
          <w:rFonts w:cstheme="minorHAnsi"/>
          <w:sz w:val="24"/>
          <w:szCs w:val="24"/>
        </w:rPr>
        <w:t xml:space="preserve"> Erik (2010).</w:t>
      </w:r>
      <w:r>
        <w:rPr>
          <w:rFonts w:cstheme="minorHAnsi"/>
          <w:sz w:val="24"/>
          <w:szCs w:val="24"/>
        </w:rPr>
        <w:t xml:space="preserve"> ‘</w:t>
      </w:r>
      <w:r w:rsidRPr="005C1063">
        <w:rPr>
          <w:rFonts w:cstheme="minorHAnsi"/>
          <w:sz w:val="24"/>
          <w:szCs w:val="24"/>
        </w:rPr>
        <w:t>“Nor by the eye of flesh</w:t>
      </w:r>
      <w:r>
        <w:rPr>
          <w:rFonts w:cstheme="minorHAnsi"/>
          <w:sz w:val="24"/>
          <w:szCs w:val="24"/>
        </w:rPr>
        <w:t xml:space="preserve"> </w:t>
      </w:r>
      <w:r w:rsidR="008F06B3">
        <w:rPr>
          <w:rFonts w:cstheme="minorHAnsi"/>
          <w:sz w:val="24"/>
          <w:szCs w:val="24"/>
        </w:rPr>
        <w:t>n</w:t>
      </w:r>
      <w:r w:rsidRPr="005C1063">
        <w:rPr>
          <w:rFonts w:cstheme="minorHAnsi"/>
          <w:sz w:val="24"/>
          <w:szCs w:val="24"/>
        </w:rPr>
        <w:t>or by the other”:</w:t>
      </w:r>
      <w:r>
        <w:rPr>
          <w:rFonts w:cstheme="minorHAnsi"/>
          <w:sz w:val="24"/>
          <w:szCs w:val="24"/>
        </w:rPr>
        <w:t xml:space="preserve"> </w:t>
      </w:r>
      <w:r w:rsidRPr="005C1063">
        <w:rPr>
          <w:rFonts w:cstheme="minorHAnsi"/>
          <w:sz w:val="24"/>
          <w:szCs w:val="24"/>
        </w:rPr>
        <w:t>Fleshly, Creative and Mystical Vision in Late Beckett</w:t>
      </w:r>
      <w:r>
        <w:rPr>
          <w:rFonts w:cstheme="minorHAnsi"/>
          <w:sz w:val="24"/>
          <w:szCs w:val="24"/>
        </w:rPr>
        <w:t>’</w:t>
      </w:r>
      <w:r w:rsidR="006F24B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8F05A6" w:rsidRPr="008F05A6">
        <w:rPr>
          <w:rFonts w:cstheme="minorHAnsi"/>
          <w:i/>
          <w:sz w:val="24"/>
          <w:szCs w:val="24"/>
        </w:rPr>
        <w:t xml:space="preserve">Samuel Beckett Today / </w:t>
      </w:r>
      <w:proofErr w:type="spellStart"/>
      <w:r w:rsidR="008F05A6" w:rsidRPr="008F05A6">
        <w:rPr>
          <w:rFonts w:cstheme="minorHAnsi"/>
          <w:i/>
          <w:sz w:val="24"/>
          <w:szCs w:val="24"/>
        </w:rPr>
        <w:t>Aujourd'hui</w:t>
      </w:r>
      <w:proofErr w:type="spellEnd"/>
      <w:r w:rsidR="008F05A6" w:rsidRPr="008F05A6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22: 223-39.</w:t>
      </w:r>
      <w:r>
        <w:rPr>
          <w:rFonts w:cstheme="minorHAnsi"/>
          <w:i/>
          <w:sz w:val="24"/>
          <w:szCs w:val="24"/>
        </w:rPr>
        <w:t xml:space="preserve"> </w:t>
      </w:r>
    </w:p>
    <w:p w:rsidR="005C1063" w:rsidRDefault="005C1063" w:rsidP="005C1063">
      <w:pPr>
        <w:rPr>
          <w:rFonts w:cstheme="minorHAnsi"/>
          <w:sz w:val="24"/>
          <w:szCs w:val="24"/>
        </w:rPr>
      </w:pPr>
    </w:p>
    <w:p w:rsidR="005C1063" w:rsidRDefault="005C1063" w:rsidP="005C106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Further Links</w:t>
      </w:r>
    </w:p>
    <w:p w:rsidR="005C1063" w:rsidRDefault="005C1063" w:rsidP="005C10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Gifford Lecturer Biography </w:t>
      </w:r>
      <w:r w:rsidR="003A0CB3">
        <w:rPr>
          <w:rFonts w:cstheme="minorHAnsi"/>
          <w:sz w:val="24"/>
          <w:szCs w:val="24"/>
        </w:rPr>
        <w:t>(</w:t>
      </w:r>
      <w:hyperlink r:id="rId13" w:history="1">
        <w:r w:rsidR="003A0CB3" w:rsidRPr="004E0EA1">
          <w:rPr>
            <w:rStyle w:val="Hyperlink"/>
            <w:rFonts w:cstheme="minorHAnsi"/>
            <w:sz w:val="24"/>
            <w:szCs w:val="24"/>
          </w:rPr>
          <w:t>http://www.giffordlectures.org/lecturers/william-ralph-inge</w:t>
        </w:r>
      </w:hyperlink>
      <w:r w:rsidR="003A0CB3">
        <w:rPr>
          <w:rFonts w:cstheme="minorHAnsi"/>
          <w:sz w:val="24"/>
          <w:szCs w:val="24"/>
        </w:rPr>
        <w:t>)</w:t>
      </w:r>
    </w:p>
    <w:p w:rsidR="000022F2" w:rsidRDefault="000022F2" w:rsidP="005C1063">
      <w:pPr>
        <w:rPr>
          <w:rFonts w:cstheme="minorHAnsi"/>
          <w:sz w:val="24"/>
          <w:szCs w:val="24"/>
        </w:rPr>
      </w:pPr>
      <w:r w:rsidRPr="000022F2">
        <w:rPr>
          <w:rFonts w:cstheme="minorHAnsi"/>
          <w:sz w:val="24"/>
          <w:szCs w:val="24"/>
        </w:rPr>
        <w:t>Lady Margaret's Professors Page (</w:t>
      </w:r>
      <w:hyperlink r:id="rId14" w:anchor="section-8" w:history="1">
        <w:r w:rsidRPr="004E0EA1">
          <w:rPr>
            <w:rStyle w:val="Hyperlink"/>
            <w:rFonts w:cstheme="minorHAnsi"/>
            <w:sz w:val="24"/>
            <w:szCs w:val="24"/>
          </w:rPr>
          <w:t>http://www.divinity.cam.ac.uk/library/historyoffaculty/ladymargaret#section-8</w:t>
        </w:r>
      </w:hyperlink>
      <w:r>
        <w:rPr>
          <w:rFonts w:cstheme="minorHAnsi"/>
          <w:sz w:val="24"/>
          <w:szCs w:val="24"/>
        </w:rPr>
        <w:t>)</w:t>
      </w:r>
    </w:p>
    <w:p w:rsidR="003A0CB3" w:rsidRDefault="003A0CB3" w:rsidP="005C10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Canterbury Page (</w:t>
      </w:r>
      <w:hyperlink r:id="rId15" w:history="1">
        <w:r w:rsidRPr="004E0EA1">
          <w:rPr>
            <w:rStyle w:val="Hyperlink"/>
            <w:rFonts w:cstheme="minorHAnsi"/>
            <w:sz w:val="24"/>
            <w:szCs w:val="24"/>
          </w:rPr>
          <w:t>http://anglicanhistory.org/england/wringe/</w:t>
        </w:r>
      </w:hyperlink>
      <w:r>
        <w:rPr>
          <w:rFonts w:cstheme="minorHAnsi"/>
          <w:sz w:val="24"/>
          <w:szCs w:val="24"/>
        </w:rPr>
        <w:t>)</w:t>
      </w:r>
    </w:p>
    <w:p w:rsidR="009D6607" w:rsidRPr="006F24B6" w:rsidRDefault="009D6607" w:rsidP="005C1063">
      <w:pPr>
        <w:rPr>
          <w:rFonts w:cstheme="minorHAnsi"/>
          <w:b/>
          <w:sz w:val="24"/>
          <w:szCs w:val="24"/>
        </w:rPr>
      </w:pPr>
    </w:p>
    <w:p w:rsidR="009D6607" w:rsidRPr="006F24B6" w:rsidRDefault="009D6607" w:rsidP="005C1063">
      <w:pPr>
        <w:rPr>
          <w:rFonts w:cstheme="minorHAnsi"/>
          <w:sz w:val="24"/>
          <w:szCs w:val="24"/>
        </w:rPr>
      </w:pPr>
      <w:r w:rsidRPr="006F24B6">
        <w:rPr>
          <w:rFonts w:cstheme="minorHAnsi"/>
          <w:sz w:val="24"/>
          <w:szCs w:val="24"/>
        </w:rPr>
        <w:t xml:space="preserve">Jamie </w:t>
      </w:r>
      <w:proofErr w:type="spellStart"/>
      <w:r w:rsidRPr="006F24B6">
        <w:rPr>
          <w:rFonts w:cstheme="minorHAnsi"/>
          <w:sz w:val="24"/>
          <w:szCs w:val="24"/>
        </w:rPr>
        <w:t>Callison</w:t>
      </w:r>
      <w:proofErr w:type="spellEnd"/>
      <w:r w:rsidRPr="006F24B6">
        <w:rPr>
          <w:rFonts w:cstheme="minorHAnsi"/>
          <w:sz w:val="24"/>
          <w:szCs w:val="24"/>
        </w:rPr>
        <w:t xml:space="preserve">, University of Bergen &amp; University of Northampton </w:t>
      </w:r>
    </w:p>
    <w:sectPr w:rsidR="009D6607" w:rsidRPr="006F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3B"/>
    <w:rsid w:val="000022F2"/>
    <w:rsid w:val="00034E72"/>
    <w:rsid w:val="00075C0B"/>
    <w:rsid w:val="00096145"/>
    <w:rsid w:val="00212CF3"/>
    <w:rsid w:val="0034123B"/>
    <w:rsid w:val="003A0CB3"/>
    <w:rsid w:val="00446819"/>
    <w:rsid w:val="005C1063"/>
    <w:rsid w:val="00675F18"/>
    <w:rsid w:val="006F24B6"/>
    <w:rsid w:val="00791828"/>
    <w:rsid w:val="008F05A6"/>
    <w:rsid w:val="008F06B3"/>
    <w:rsid w:val="008F6A66"/>
    <w:rsid w:val="009D6607"/>
    <w:rsid w:val="009F4C8F"/>
    <w:rsid w:val="00A17F08"/>
    <w:rsid w:val="00A90EBD"/>
    <w:rsid w:val="00AE1924"/>
    <w:rsid w:val="00B82C0A"/>
    <w:rsid w:val="00DF37A2"/>
    <w:rsid w:val="00F16B67"/>
    <w:rsid w:val="00F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F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F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ffordlectures.org/lectures/philosophy-plotinus-vol-1" TargetMode="External"/><Relationship Id="rId12" Type="http://schemas.openxmlformats.org/officeDocument/2006/relationships/hyperlink" Target="http://www.giffordlectures.org/lectures/philosophy-plotinus-vol-2" TargetMode="External"/><Relationship Id="rId13" Type="http://schemas.openxmlformats.org/officeDocument/2006/relationships/hyperlink" Target="http://www.giffordlectures.org/lecturers/william-ralph-inge" TargetMode="External"/><Relationship Id="rId14" Type="http://schemas.openxmlformats.org/officeDocument/2006/relationships/hyperlink" Target="http://www.divinity.cam.ac.uk/library/historyoffaculty/ladymargaret" TargetMode="External"/><Relationship Id="rId15" Type="http://schemas.openxmlformats.org/officeDocument/2006/relationships/hyperlink" Target="http://anglicanhistory.org/england/wringe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gutenberg.org/ebooks/14596" TargetMode="External"/><Relationship Id="rId7" Type="http://schemas.openxmlformats.org/officeDocument/2006/relationships/hyperlink" Target="https://archive.org/details/lightlifeandlov00ingegoog" TargetMode="External"/><Relationship Id="rId8" Type="http://schemas.openxmlformats.org/officeDocument/2006/relationships/hyperlink" Target="https://archive.org/details/cu31924029351453" TargetMode="External"/><Relationship Id="rId9" Type="http://schemas.openxmlformats.org/officeDocument/2006/relationships/hyperlink" Target="https://archive.org/details/philosophyofplot01inge" TargetMode="External"/><Relationship Id="rId10" Type="http://schemas.openxmlformats.org/officeDocument/2006/relationships/hyperlink" Target="https://archive.org/details/philosophyofplot032854m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Callison</dc:creator>
  <cp:lastModifiedBy>Stephen Ross</cp:lastModifiedBy>
  <cp:revision>2</cp:revision>
  <dcterms:created xsi:type="dcterms:W3CDTF">2015-06-22T18:43:00Z</dcterms:created>
  <dcterms:modified xsi:type="dcterms:W3CDTF">2015-06-22T18:43:00Z</dcterms:modified>
</cp:coreProperties>
</file>