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A019EC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430692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74AE6E71D5BC34A83E589744ED8918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03F432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EB3DE1F2A340E469256F0C2438DC056"/>
            </w:placeholder>
            <w:text/>
          </w:sdtPr>
          <w:sdtEndPr/>
          <w:sdtContent>
            <w:tc>
              <w:tcPr>
                <w:tcW w:w="2073" w:type="dxa"/>
              </w:tcPr>
              <w:p w14:paraId="25FF1EC8" w14:textId="77777777" w:rsidR="00B574C9" w:rsidRDefault="005116BF" w:rsidP="005116BF">
                <w:proofErr w:type="spellStart"/>
                <w:r>
                  <w:t>Anneka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C183D6B9B629A499E4F6CD4ADF5AD6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74CB7A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CF5F80BD06B7043B140C226B43E9670"/>
            </w:placeholder>
            <w:text/>
          </w:sdtPr>
          <w:sdtEndPr/>
          <w:sdtContent>
            <w:tc>
              <w:tcPr>
                <w:tcW w:w="2642" w:type="dxa"/>
              </w:tcPr>
              <w:p w14:paraId="652F133B" w14:textId="77777777" w:rsidR="00B574C9" w:rsidRDefault="005116BF" w:rsidP="005116BF">
                <w:proofErr w:type="spellStart"/>
                <w:r>
                  <w:t>Lenssen</w:t>
                </w:r>
                <w:proofErr w:type="spellEnd"/>
              </w:p>
            </w:tc>
          </w:sdtContent>
        </w:sdt>
      </w:tr>
      <w:tr w:rsidR="00B574C9" w14:paraId="3FCD269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B359BD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EAFB7D36432D745805B8E9C3FDC51B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2A8C653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A1F148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C4EFAF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B936C07A912DC04295658D1A71F35C48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CFE12AC" w14:textId="3E9D894E" w:rsidR="00B574C9" w:rsidRDefault="000F5548" w:rsidP="000F5548">
                <w:r>
                  <w:t>The American University in Cairo</w:t>
                </w:r>
              </w:p>
            </w:tc>
          </w:sdtContent>
        </w:sdt>
      </w:tr>
    </w:tbl>
    <w:p w14:paraId="1563097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8869C1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36EB0F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DC35A46" w14:textId="77777777" w:rsidTr="003F0D73">
        <w:sdt>
          <w:sdtPr>
            <w:alias w:val="Article headword"/>
            <w:tag w:val="articleHeadword"/>
            <w:id w:val="-361440020"/>
            <w:placeholder>
              <w:docPart w:val="3E1B7CACA8576547AF77DF30E76CC758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F1EDAF8" w14:textId="24FD563A" w:rsidR="003F0D73" w:rsidRPr="00FB589A" w:rsidRDefault="000F5548" w:rsidP="005116BF">
                <w:proofErr w:type="spellStart"/>
                <w:r>
                  <w:rPr>
                    <w:lang w:val="en-US"/>
                  </w:rPr>
                  <w:t>Kayyali</w:t>
                </w:r>
                <w:proofErr w:type="spellEnd"/>
                <w:r>
                  <w:rPr>
                    <w:lang w:val="en-US"/>
                  </w:rPr>
                  <w:t xml:space="preserve">, </w:t>
                </w:r>
                <w:proofErr w:type="spellStart"/>
                <w:r>
                  <w:rPr>
                    <w:lang w:val="en-US"/>
                  </w:rPr>
                  <w:t>Louay</w:t>
                </w:r>
                <w:proofErr w:type="spellEnd"/>
                <w:r>
                  <w:rPr>
                    <w:lang w:val="en-US"/>
                  </w:rPr>
                  <w:t xml:space="preserve"> (1934-</w:t>
                </w:r>
                <w:r w:rsidR="005116BF" w:rsidRPr="0014561B">
                  <w:rPr>
                    <w:lang w:val="en-US"/>
                  </w:rPr>
                  <w:t>1978)</w:t>
                </w:r>
              </w:p>
            </w:tc>
          </w:sdtContent>
        </w:sdt>
      </w:tr>
      <w:tr w:rsidR="00464699" w14:paraId="66A2F57F" w14:textId="77777777" w:rsidTr="007821B0">
        <w:sdt>
          <w:sdtPr>
            <w:alias w:val="Variant headwords"/>
            <w:tag w:val="variantHeadwords"/>
            <w:id w:val="173464402"/>
            <w:placeholder>
              <w:docPart w:val="7B3E26FFF33CBE469F50EAEEC7F98E0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A6B04C6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37E85C8" w14:textId="77777777" w:rsidTr="003F0D73">
        <w:sdt>
          <w:sdtPr>
            <w:alias w:val="Abstract"/>
            <w:tag w:val="abstract"/>
            <w:id w:val="-635871867"/>
            <w:placeholder>
              <w:docPart w:val="1C03773F236C224BBDE3007F12A47A95"/>
            </w:placeholder>
          </w:sdtPr>
          <w:sdtEndPr/>
          <w:sdtContent>
            <w:sdt>
              <w:sdtPr>
                <w:alias w:val="Article text"/>
                <w:tag w:val="articleText"/>
                <w:id w:val="996083194"/>
                <w:placeholder>
                  <w:docPart w:val="E573166A259B604499D47A5859D3DAFC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14B0F39D" w14:textId="77777777" w:rsidR="00E85A05" w:rsidRDefault="00A609BE" w:rsidP="00E85A05">
                    <w:proofErr w:type="spellStart"/>
                    <w:r w:rsidRPr="00A609BE">
                      <w:t>Louay</w:t>
                    </w:r>
                    <w:proofErr w:type="spellEnd"/>
                    <w:r w:rsidRPr="00A609BE">
                      <w:t xml:space="preserve"> </w:t>
                    </w:r>
                    <w:proofErr w:type="spellStart"/>
                    <w:r w:rsidRPr="00A609BE">
                      <w:t>Kayyali</w:t>
                    </w:r>
                    <w:proofErr w:type="spellEnd"/>
                    <w:r w:rsidRPr="00A609BE">
                      <w:t> wa</w:t>
                    </w:r>
                    <w:r>
                      <w:t>s one of the leading painters of</w:t>
                    </w:r>
                    <w:r w:rsidRPr="00A609BE">
                      <w:t xml:space="preserve"> the emergent Syrian art scene during the 1960s and 1970s</w:t>
                    </w:r>
                    <w:r>
                      <w:t>. His</w:t>
                    </w:r>
                    <w:r w:rsidRPr="00A609BE">
                      <w:t xml:space="preserve"> most admired works</w:t>
                    </w:r>
                    <w:r>
                      <w:t xml:space="preserve"> depict individual </w:t>
                    </w:r>
                    <w:proofErr w:type="spellStart"/>
                    <w:r>
                      <w:t>laborers</w:t>
                    </w:r>
                    <w:proofErr w:type="spellEnd"/>
                    <w:r>
                      <w:t xml:space="preserve"> as ‘types,’</w:t>
                    </w:r>
                    <w:r w:rsidRPr="00A609BE">
                      <w:t xml:space="preserve"> illustrating the tragic humanism of everyday life. </w:t>
                    </w:r>
                    <w:proofErr w:type="spellStart"/>
                    <w:r w:rsidRPr="00A609BE">
                      <w:t>Kayyali</w:t>
                    </w:r>
                    <w:proofErr w:type="spellEnd"/>
                    <w:r w:rsidRPr="00A609BE">
                      <w:t xml:space="preserve"> began his career in Aleppo, exhibiting academic portraits and still </w:t>
                    </w:r>
                    <w:r>
                      <w:t>life paintings</w:t>
                    </w:r>
                    <w:r w:rsidRPr="00A609BE">
                      <w:t xml:space="preserve"> locally. In 1956, he won a fellowship to study the Academy of Fine Arts in Rome, where he became interested in fresco and other traditional techniques. After </w:t>
                    </w:r>
                    <w:r>
                      <w:t>completing</w:t>
                    </w:r>
                    <w:r w:rsidRPr="00A609BE">
                      <w:t xml:space="preserve"> his studies in 1961, </w:t>
                    </w:r>
                    <w:proofErr w:type="spellStart"/>
                    <w:r w:rsidRPr="00A609BE">
                      <w:t>Kayyali</w:t>
                    </w:r>
                    <w:proofErr w:type="spellEnd"/>
                    <w:r w:rsidRPr="00A609BE">
                      <w:t xml:space="preserve"> settled in Damascus and joined the faculty at the new College of Fine Arts. For a period of five years, he exhibited his portrait types, flowers, and architectural landscapes – rendered in simple lines and </w:t>
                    </w:r>
                    <w:proofErr w:type="spellStart"/>
                    <w:r w:rsidRPr="00A609BE">
                      <w:t>color</w:t>
                    </w:r>
                    <w:proofErr w:type="spellEnd"/>
                    <w:r w:rsidRPr="00A609BE">
                      <w:t xml:space="preserve"> stains on pressed chipboard – regularly, to acclaim from collectors. From 1965 onward, </w:t>
                    </w:r>
                    <w:proofErr w:type="spellStart"/>
                    <w:r w:rsidRPr="00A609BE">
                      <w:t>Kayyali</w:t>
                    </w:r>
                    <w:proofErr w:type="spellEnd"/>
                    <w:r w:rsidRPr="00A609BE">
                      <w:t xml:space="preserve"> began to struggle with mental illness. In this later period, he turned to more overtly politicised themes, including a series of dramatic charcoal drawings of citizens under siege, which was sponsored by the Syrian government as a touring exhibition in support of the Arab liberation cause. He also continued to produce paintings of fishermen, street sellers, and mothers as representations of the social themes then preoccupying him.</w:t>
                    </w:r>
                  </w:p>
                </w:tc>
              </w:sdtContent>
            </w:sdt>
          </w:sdtContent>
        </w:sdt>
      </w:tr>
      <w:tr w:rsidR="003F0D73" w14:paraId="17308780" w14:textId="77777777" w:rsidTr="003F0D73">
        <w:sdt>
          <w:sdtPr>
            <w:alias w:val="Article text"/>
            <w:tag w:val="articleText"/>
            <w:id w:val="634067588"/>
            <w:placeholder>
              <w:docPart w:val="373462A583E4BE4DADF90811B90D473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7DF28E5" w14:textId="77777777" w:rsidR="003F0D73" w:rsidRPr="00A609BE" w:rsidRDefault="005116BF" w:rsidP="00A609BE">
                <w:pPr>
                  <w:rPr>
                    <w:sz w:val="24"/>
                    <w:szCs w:val="24"/>
                  </w:rPr>
                </w:pPr>
                <w:proofErr w:type="spellStart"/>
                <w:r w:rsidRPr="00A609BE">
                  <w:t>Louay</w:t>
                </w:r>
                <w:proofErr w:type="spellEnd"/>
                <w:r w:rsidRPr="00A609BE">
                  <w:t xml:space="preserve"> </w:t>
                </w:r>
                <w:proofErr w:type="spellStart"/>
                <w:r w:rsidRPr="00A609BE">
                  <w:t>Kayyali</w:t>
                </w:r>
                <w:proofErr w:type="spellEnd"/>
                <w:r w:rsidRPr="00A609BE">
                  <w:t> wa</w:t>
                </w:r>
                <w:r w:rsidR="00A609BE">
                  <w:t>s one of the leading painters of</w:t>
                </w:r>
                <w:r w:rsidRPr="00A609BE">
                  <w:t xml:space="preserve"> the emergent Syrian art scene during the 1960s and 1970s</w:t>
                </w:r>
                <w:r w:rsidR="00A609BE">
                  <w:t>. His</w:t>
                </w:r>
                <w:r w:rsidRPr="00A609BE">
                  <w:t xml:space="preserve"> most admired works</w:t>
                </w:r>
                <w:r w:rsidR="00A609BE">
                  <w:t xml:space="preserve"> depict individual laborers as ‘types,’</w:t>
                </w:r>
                <w:r w:rsidRPr="00A609BE">
                  <w:t xml:space="preserve"> illustrating the tragic humanism of everyday life. </w:t>
                </w:r>
                <w:proofErr w:type="spellStart"/>
                <w:r w:rsidRPr="00A609BE">
                  <w:t>Kayyali</w:t>
                </w:r>
                <w:proofErr w:type="spellEnd"/>
                <w:r w:rsidRPr="00A609BE">
                  <w:t xml:space="preserve"> began his career in Aleppo, exhibiting academic portraits and still </w:t>
                </w:r>
                <w:r w:rsidR="00A609BE">
                  <w:t>life paintings</w:t>
                </w:r>
                <w:r w:rsidRPr="00A609BE">
                  <w:t xml:space="preserve"> locally. In 1956, he won a fellowship to study the Academy of Fine Arts in Rome, where he became interested in fresco and other traditional techniques. After </w:t>
                </w:r>
                <w:r w:rsidR="00A609BE">
                  <w:t>completing</w:t>
                </w:r>
                <w:r w:rsidRPr="00A609BE">
                  <w:t xml:space="preserve"> his studies in 1961, </w:t>
                </w:r>
                <w:proofErr w:type="spellStart"/>
                <w:r w:rsidRPr="00A609BE">
                  <w:t>Kayyali</w:t>
                </w:r>
                <w:proofErr w:type="spellEnd"/>
                <w:r w:rsidRPr="00A609BE">
                  <w:t xml:space="preserve"> settled in Damascus and joined the faculty at the new College of Fine Arts. For a period of five years, he exhibited his portrait types, flowers, and architectural landscapes – rendered in simple lines and color stains on pressed chipboard – regularly, to acclaim from collectors. From 1965 onward, </w:t>
                </w:r>
                <w:proofErr w:type="spellStart"/>
                <w:r w:rsidRPr="00A609BE">
                  <w:t>Kayyali</w:t>
                </w:r>
                <w:proofErr w:type="spellEnd"/>
                <w:r w:rsidRPr="00A609BE">
                  <w:t xml:space="preserve"> began to struggle with mental illness. In this later period, he turned to m</w:t>
                </w:r>
                <w:bookmarkStart w:id="0" w:name="_GoBack"/>
                <w:bookmarkEnd w:id="0"/>
                <w:r w:rsidRPr="00A609BE">
                  <w:t>ore overtly politicised themes, including a series of dramatic charcoal drawings of citizens under siege, which was sponsored by the Syrian government as a touring exhibition in support of the Arab liberation cause. He also continued to produce paintings of fishermen, street sellers, and mothers as representations of the social themes then preoccupying him.</w:t>
                </w:r>
              </w:p>
            </w:tc>
          </w:sdtContent>
        </w:sdt>
      </w:tr>
      <w:tr w:rsidR="003235A7" w14:paraId="00489AA5" w14:textId="77777777" w:rsidTr="003235A7">
        <w:tc>
          <w:tcPr>
            <w:tcW w:w="9016" w:type="dxa"/>
          </w:tcPr>
          <w:p w14:paraId="3BCAF6B8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0E395699E33994C9BD5B55665FADBB2"/>
              </w:placeholder>
            </w:sdtPr>
            <w:sdtEndPr/>
            <w:sdtContent>
              <w:p w14:paraId="7467B3AD" w14:textId="77777777" w:rsidR="00E763B1" w:rsidRDefault="000F5548" w:rsidP="00FB11DE">
                <w:sdt>
                  <w:sdtPr>
                    <w:id w:val="-959487987"/>
                    <w:citation/>
                  </w:sdtPr>
                  <w:sdtEndPr/>
                  <w:sdtContent>
                    <w:r w:rsidR="00E763B1">
                      <w:fldChar w:fldCharType="begin"/>
                    </w:r>
                    <w:r w:rsidR="00E763B1">
                      <w:rPr>
                        <w:lang w:val="en-US"/>
                      </w:rPr>
                      <w:instrText xml:space="preserve"> CITATION AlS72 \l 1033 </w:instrText>
                    </w:r>
                    <w:r w:rsidR="00E763B1">
                      <w:fldChar w:fldCharType="separate"/>
                    </w:r>
                    <w:r w:rsidR="00E763B1">
                      <w:rPr>
                        <w:noProof/>
                        <w:lang w:val="en-US"/>
                      </w:rPr>
                      <w:t xml:space="preserve"> (Al Sharif)</w:t>
                    </w:r>
                    <w:r w:rsidR="00E763B1">
                      <w:fldChar w:fldCharType="end"/>
                    </w:r>
                  </w:sdtContent>
                </w:sdt>
              </w:p>
              <w:p w14:paraId="25E1C817" w14:textId="77777777" w:rsidR="000F5548" w:rsidRDefault="000F5548" w:rsidP="00FB11DE"/>
              <w:p w14:paraId="4964F4F3" w14:textId="77777777" w:rsidR="00E763B1" w:rsidRDefault="000F5548" w:rsidP="00FB11DE">
                <w:sdt>
                  <w:sdtPr>
                    <w:id w:val="-1001734796"/>
                    <w:citation/>
                  </w:sdtPr>
                  <w:sdtEndPr/>
                  <w:sdtContent>
                    <w:r w:rsidR="00E763B1">
                      <w:fldChar w:fldCharType="begin"/>
                    </w:r>
                    <w:r w:rsidR="00E763B1">
                      <w:rPr>
                        <w:lang w:val="en-US"/>
                      </w:rPr>
                      <w:instrText xml:space="preserve"> CITATION Ata98 \l 1033 </w:instrText>
                    </w:r>
                    <w:r w:rsidR="00E763B1">
                      <w:fldChar w:fldCharType="separate"/>
                    </w:r>
                    <w:r w:rsidR="00E763B1">
                      <w:rPr>
                        <w:noProof/>
                        <w:lang w:val="en-US"/>
                      </w:rPr>
                      <w:t>(Atassi and Savegh)</w:t>
                    </w:r>
                    <w:r w:rsidR="00E763B1">
                      <w:fldChar w:fldCharType="end"/>
                    </w:r>
                  </w:sdtContent>
                </w:sdt>
              </w:p>
              <w:p w14:paraId="40767A33" w14:textId="77777777" w:rsidR="000F5548" w:rsidRDefault="000F5548" w:rsidP="00FB11DE"/>
              <w:p w14:paraId="4115E6EB" w14:textId="77777777" w:rsidR="003235A7" w:rsidRDefault="000F5548" w:rsidP="00FB11DE">
                <w:sdt>
                  <w:sdtPr>
                    <w:id w:val="-109061000"/>
                    <w:citation/>
                  </w:sdtPr>
                  <w:sdtEndPr/>
                  <w:sdtContent>
                    <w:r w:rsidR="00E763B1">
                      <w:fldChar w:fldCharType="begin"/>
                    </w:r>
                    <w:r w:rsidR="00E763B1">
                      <w:rPr>
                        <w:lang w:val="en-US"/>
                      </w:rPr>
                      <w:instrText xml:space="preserve"> CITATION Kas74 \l 1033 </w:instrText>
                    </w:r>
                    <w:r w:rsidR="00E763B1">
                      <w:fldChar w:fldCharType="separate"/>
                    </w:r>
                    <w:r w:rsidR="00E763B1">
                      <w:rPr>
                        <w:noProof/>
                        <w:lang w:val="en-US"/>
                      </w:rPr>
                      <w:t>(Kashlan)</w:t>
                    </w:r>
                    <w:r w:rsidR="00E763B1">
                      <w:fldChar w:fldCharType="end"/>
                    </w:r>
                  </w:sdtContent>
                </w:sdt>
              </w:p>
            </w:sdtContent>
          </w:sdt>
        </w:tc>
      </w:tr>
    </w:tbl>
    <w:p w14:paraId="7C61542D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9ED208" w14:textId="77777777" w:rsidR="005116BF" w:rsidRDefault="005116BF" w:rsidP="007A0D55">
      <w:pPr>
        <w:spacing w:after="0" w:line="240" w:lineRule="auto"/>
      </w:pPr>
      <w:r>
        <w:separator/>
      </w:r>
    </w:p>
  </w:endnote>
  <w:endnote w:type="continuationSeparator" w:id="0">
    <w:p w14:paraId="4461E1C1" w14:textId="77777777" w:rsidR="005116BF" w:rsidRDefault="005116B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E730F2" w14:textId="77777777" w:rsidR="005116BF" w:rsidRDefault="005116BF" w:rsidP="007A0D55">
      <w:pPr>
        <w:spacing w:after="0" w:line="240" w:lineRule="auto"/>
      </w:pPr>
      <w:r>
        <w:separator/>
      </w:r>
    </w:p>
  </w:footnote>
  <w:footnote w:type="continuationSeparator" w:id="0">
    <w:p w14:paraId="13419973" w14:textId="77777777" w:rsidR="005116BF" w:rsidRDefault="005116B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2255DA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04430FC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6BF"/>
    <w:rsid w:val="00032559"/>
    <w:rsid w:val="00052040"/>
    <w:rsid w:val="000B25AE"/>
    <w:rsid w:val="000B55AB"/>
    <w:rsid w:val="000D24DC"/>
    <w:rsid w:val="000F5548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10511"/>
    <w:rsid w:val="00462DBE"/>
    <w:rsid w:val="00464699"/>
    <w:rsid w:val="00483379"/>
    <w:rsid w:val="00487BC5"/>
    <w:rsid w:val="00496888"/>
    <w:rsid w:val="004A7476"/>
    <w:rsid w:val="004E5896"/>
    <w:rsid w:val="005116BF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609BE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763B1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D504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116B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6B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5116BF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n-US"/>
    </w:rPr>
  </w:style>
  <w:style w:type="paragraph" w:customStyle="1" w:styleId="Normal1">
    <w:name w:val="Normal1"/>
    <w:rsid w:val="005116BF"/>
    <w:pPr>
      <w:spacing w:after="0" w:line="276" w:lineRule="auto"/>
    </w:pPr>
    <w:rPr>
      <w:rFonts w:ascii="Arial" w:eastAsia="Arial" w:hAnsi="Arial" w:cs="Arial"/>
      <w:color w:val="000000"/>
      <w:szCs w:val="24"/>
      <w:lang w:val="en-US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116B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6B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5116BF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n-US"/>
    </w:rPr>
  </w:style>
  <w:style w:type="paragraph" w:customStyle="1" w:styleId="Normal1">
    <w:name w:val="Normal1"/>
    <w:rsid w:val="005116BF"/>
    <w:pPr>
      <w:spacing w:after="0" w:line="276" w:lineRule="auto"/>
    </w:pPr>
    <w:rPr>
      <w:rFonts w:ascii="Arial" w:eastAsia="Arial" w:hAnsi="Arial" w:cs="Arial"/>
      <w:color w:val="000000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74AE6E71D5BC34A83E589744ED89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6A670-5240-9247-82F0-2D42281E2F0D}"/>
      </w:docPartPr>
      <w:docPartBody>
        <w:p w:rsidR="00784BAD" w:rsidRDefault="00784BAD">
          <w:pPr>
            <w:pStyle w:val="874AE6E71D5BC34A83E589744ED8918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EB3DE1F2A340E469256F0C2438DC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09D23-F957-BB44-8B76-7E445BF7B80E}"/>
      </w:docPartPr>
      <w:docPartBody>
        <w:p w:rsidR="00784BAD" w:rsidRDefault="00784BAD">
          <w:pPr>
            <w:pStyle w:val="FEB3DE1F2A340E469256F0C2438DC05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C183D6B9B629A499E4F6CD4ADF5A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308E4-783F-0A43-BF94-1BDFD91E56B4}"/>
      </w:docPartPr>
      <w:docPartBody>
        <w:p w:rsidR="00784BAD" w:rsidRDefault="00784BAD">
          <w:pPr>
            <w:pStyle w:val="9C183D6B9B629A499E4F6CD4ADF5AD6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CF5F80BD06B7043B140C226B43E9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FCDAE-0484-7541-A89A-9E90EF3FD1A9}"/>
      </w:docPartPr>
      <w:docPartBody>
        <w:p w:rsidR="00784BAD" w:rsidRDefault="00784BAD">
          <w:pPr>
            <w:pStyle w:val="3CF5F80BD06B7043B140C226B43E967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EAFB7D36432D745805B8E9C3FDC5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094B3-AF20-A143-9AF8-573BF1F6DD94}"/>
      </w:docPartPr>
      <w:docPartBody>
        <w:p w:rsidR="00784BAD" w:rsidRDefault="00784BAD">
          <w:pPr>
            <w:pStyle w:val="BEAFB7D36432D745805B8E9C3FDC51B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936C07A912DC04295658D1A71F35C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DADA5-CED5-B84A-BA56-A3F38495E930}"/>
      </w:docPartPr>
      <w:docPartBody>
        <w:p w:rsidR="00784BAD" w:rsidRDefault="00784BAD">
          <w:pPr>
            <w:pStyle w:val="B936C07A912DC04295658D1A71F35C4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E1B7CACA8576547AF77DF30E76CC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31B3-7995-EF40-AD69-52ADDB498CF4}"/>
      </w:docPartPr>
      <w:docPartBody>
        <w:p w:rsidR="00784BAD" w:rsidRDefault="00784BAD">
          <w:pPr>
            <w:pStyle w:val="3E1B7CACA8576547AF77DF30E76CC75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B3E26FFF33CBE469F50EAEEC7F98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E2650-D497-C049-8C2C-0056FDE0EFB8}"/>
      </w:docPartPr>
      <w:docPartBody>
        <w:p w:rsidR="00784BAD" w:rsidRDefault="00784BAD">
          <w:pPr>
            <w:pStyle w:val="7B3E26FFF33CBE469F50EAEEC7F98E0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C03773F236C224BBDE3007F12A47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F9546-3BE6-C74D-B06F-D3F4A2821581}"/>
      </w:docPartPr>
      <w:docPartBody>
        <w:p w:rsidR="00784BAD" w:rsidRDefault="00784BAD">
          <w:pPr>
            <w:pStyle w:val="1C03773F236C224BBDE3007F12A47A9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73462A583E4BE4DADF90811B90D4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864FD-9D66-D64E-AAC3-C2A5B922C7EF}"/>
      </w:docPartPr>
      <w:docPartBody>
        <w:p w:rsidR="00784BAD" w:rsidRDefault="00784BAD">
          <w:pPr>
            <w:pStyle w:val="373462A583E4BE4DADF90811B90D473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0E395699E33994C9BD5B55665FAD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BDA8D-F855-E448-AD89-5C5DE7F08403}"/>
      </w:docPartPr>
      <w:docPartBody>
        <w:p w:rsidR="00784BAD" w:rsidRDefault="00784BAD">
          <w:pPr>
            <w:pStyle w:val="50E395699E33994C9BD5B55665FADBB2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E573166A259B604499D47A5859D3D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B5F12-B8AF-564C-A440-BE44E1152765}"/>
      </w:docPartPr>
      <w:docPartBody>
        <w:p w:rsidR="00110E13" w:rsidRDefault="001E6554" w:rsidP="001E6554">
          <w:pPr>
            <w:pStyle w:val="E573166A259B604499D47A5859D3DAF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BAD"/>
    <w:rsid w:val="00110E13"/>
    <w:rsid w:val="001E6554"/>
    <w:rsid w:val="0078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6554"/>
    <w:rPr>
      <w:color w:val="808080"/>
    </w:rPr>
  </w:style>
  <w:style w:type="paragraph" w:customStyle="1" w:styleId="874AE6E71D5BC34A83E589744ED8918C">
    <w:name w:val="874AE6E71D5BC34A83E589744ED8918C"/>
  </w:style>
  <w:style w:type="paragraph" w:customStyle="1" w:styleId="FEB3DE1F2A340E469256F0C2438DC056">
    <w:name w:val="FEB3DE1F2A340E469256F0C2438DC056"/>
  </w:style>
  <w:style w:type="paragraph" w:customStyle="1" w:styleId="9C183D6B9B629A499E4F6CD4ADF5AD65">
    <w:name w:val="9C183D6B9B629A499E4F6CD4ADF5AD65"/>
  </w:style>
  <w:style w:type="paragraph" w:customStyle="1" w:styleId="3CF5F80BD06B7043B140C226B43E9670">
    <w:name w:val="3CF5F80BD06B7043B140C226B43E9670"/>
  </w:style>
  <w:style w:type="paragraph" w:customStyle="1" w:styleId="BEAFB7D36432D745805B8E9C3FDC51BC">
    <w:name w:val="BEAFB7D36432D745805B8E9C3FDC51BC"/>
  </w:style>
  <w:style w:type="paragraph" w:customStyle="1" w:styleId="B936C07A912DC04295658D1A71F35C48">
    <w:name w:val="B936C07A912DC04295658D1A71F35C48"/>
  </w:style>
  <w:style w:type="paragraph" w:customStyle="1" w:styleId="3E1B7CACA8576547AF77DF30E76CC758">
    <w:name w:val="3E1B7CACA8576547AF77DF30E76CC758"/>
  </w:style>
  <w:style w:type="paragraph" w:customStyle="1" w:styleId="7B3E26FFF33CBE469F50EAEEC7F98E04">
    <w:name w:val="7B3E26FFF33CBE469F50EAEEC7F98E04"/>
  </w:style>
  <w:style w:type="paragraph" w:customStyle="1" w:styleId="1C03773F236C224BBDE3007F12A47A95">
    <w:name w:val="1C03773F236C224BBDE3007F12A47A95"/>
  </w:style>
  <w:style w:type="paragraph" w:customStyle="1" w:styleId="373462A583E4BE4DADF90811B90D4733">
    <w:name w:val="373462A583E4BE4DADF90811B90D4733"/>
  </w:style>
  <w:style w:type="paragraph" w:customStyle="1" w:styleId="50E395699E33994C9BD5B55665FADBB2">
    <w:name w:val="50E395699E33994C9BD5B55665FADBB2"/>
  </w:style>
  <w:style w:type="paragraph" w:customStyle="1" w:styleId="E573166A259B604499D47A5859D3DAFC">
    <w:name w:val="E573166A259B604499D47A5859D3DAFC"/>
    <w:rsid w:val="001E655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6554"/>
    <w:rPr>
      <w:color w:val="808080"/>
    </w:rPr>
  </w:style>
  <w:style w:type="paragraph" w:customStyle="1" w:styleId="874AE6E71D5BC34A83E589744ED8918C">
    <w:name w:val="874AE6E71D5BC34A83E589744ED8918C"/>
  </w:style>
  <w:style w:type="paragraph" w:customStyle="1" w:styleId="FEB3DE1F2A340E469256F0C2438DC056">
    <w:name w:val="FEB3DE1F2A340E469256F0C2438DC056"/>
  </w:style>
  <w:style w:type="paragraph" w:customStyle="1" w:styleId="9C183D6B9B629A499E4F6CD4ADF5AD65">
    <w:name w:val="9C183D6B9B629A499E4F6CD4ADF5AD65"/>
  </w:style>
  <w:style w:type="paragraph" w:customStyle="1" w:styleId="3CF5F80BD06B7043B140C226B43E9670">
    <w:name w:val="3CF5F80BD06B7043B140C226B43E9670"/>
  </w:style>
  <w:style w:type="paragraph" w:customStyle="1" w:styleId="BEAFB7D36432D745805B8E9C3FDC51BC">
    <w:name w:val="BEAFB7D36432D745805B8E9C3FDC51BC"/>
  </w:style>
  <w:style w:type="paragraph" w:customStyle="1" w:styleId="B936C07A912DC04295658D1A71F35C48">
    <w:name w:val="B936C07A912DC04295658D1A71F35C48"/>
  </w:style>
  <w:style w:type="paragraph" w:customStyle="1" w:styleId="3E1B7CACA8576547AF77DF30E76CC758">
    <w:name w:val="3E1B7CACA8576547AF77DF30E76CC758"/>
  </w:style>
  <w:style w:type="paragraph" w:customStyle="1" w:styleId="7B3E26FFF33CBE469F50EAEEC7F98E04">
    <w:name w:val="7B3E26FFF33CBE469F50EAEEC7F98E04"/>
  </w:style>
  <w:style w:type="paragraph" w:customStyle="1" w:styleId="1C03773F236C224BBDE3007F12A47A95">
    <w:name w:val="1C03773F236C224BBDE3007F12A47A95"/>
  </w:style>
  <w:style w:type="paragraph" w:customStyle="1" w:styleId="373462A583E4BE4DADF90811B90D4733">
    <w:name w:val="373462A583E4BE4DADF90811B90D4733"/>
  </w:style>
  <w:style w:type="paragraph" w:customStyle="1" w:styleId="50E395699E33994C9BD5B55665FADBB2">
    <w:name w:val="50E395699E33994C9BD5B55665FADBB2"/>
  </w:style>
  <w:style w:type="paragraph" w:customStyle="1" w:styleId="E573166A259B604499D47A5859D3DAFC">
    <w:name w:val="E573166A259B604499D47A5859D3DAFC"/>
    <w:rsid w:val="001E65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Ata98</b:Tag>
    <b:SourceType>Book</b:SourceType>
    <b:Guid>{F1FA69C6-33C0-DD40-AF30-BDA4FE23A31E}</b:Guid>
    <b:Title>Contemporary Art in Syria, 1898-1998</b:Title>
    <b:City>Damascus</b:City>
    <b:Publisher>Gallery Atassi</b:Publisher>
    <b:Year>1998</b:Year>
    <b:Author>
      <b:Author>
        <b:NameList>
          <b:Person>
            <b:Last>Atassi</b:Last>
            <b:First>Mouna</b:First>
          </b:Person>
          <b:Person>
            <b:Last>Savegh</b:Last>
            <b:First>Samir</b:First>
          </b:Person>
        </b:NameList>
      </b:Author>
    </b:Author>
    <b:RefOrder>2</b:RefOrder>
  </b:Source>
  <b:Source>
    <b:Tag>AlS72</b:Tag>
    <b:SourceType>Book</b:SourceType>
    <b:Guid>{37EDFD39-4B7A-D74A-924B-0E337297D41E}</b:Guid>
    <b:Title>ishrūn Fannānan Min Sūrīyah=Ten artists from Syria</b:Title>
    <b:City>Damascus</b:City>
    <b:Publisher>Ministry of Culture</b:Publisher>
    <b:Year>1972</b:Year>
    <b:Author>
      <b:Author>
        <b:NameList>
          <b:Person>
            <b:Last>Al Sharif</b:Last>
            <b:First>Tariq</b:First>
          </b:Person>
        </b:NameList>
      </b:Author>
    </b:Author>
    <b:RefOrder>1</b:RefOrder>
  </b:Source>
  <b:Source>
    <b:Tag>Kas74</b:Tag>
    <b:SourceType>Book</b:SourceType>
    <b:Guid>{52D8E16D-3315-0D40-8DB0-D6BE20EF8AEF}</b:Guid>
    <b:Title>Louay Kayyali</b:Title>
    <b:City>Damascus</b:City>
    <b:Publisher>Fine Arts Syndicate, Artistic Publications Series</b:Publisher>
    <b:Year>1974</b:Year>
    <b:Author>
      <b:Author>
        <b:NameList>
          <b:Person>
            <b:Last>Kashlan</b:Last>
            <b:First>Mamdouh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FFAF80AE-9235-BA47-BF99-C62D6C147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</TotalTime>
  <Pages>1</Pages>
  <Words>431</Words>
  <Characters>2459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4</cp:revision>
  <dcterms:created xsi:type="dcterms:W3CDTF">2015-02-16T02:05:00Z</dcterms:created>
  <dcterms:modified xsi:type="dcterms:W3CDTF">2015-03-15T17:21:00Z</dcterms:modified>
</cp:coreProperties>
</file>