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E6" w:rsidRPr="00B7659F" w:rsidRDefault="00512CE6" w:rsidP="00B7659F">
      <w:pPr>
        <w:spacing w:before="100" w:beforeAutospacing="1" w:after="100" w:afterAutospacing="1" w:line="360" w:lineRule="auto"/>
        <w:jc w:val="center"/>
        <w:outlineLvl w:val="0"/>
        <w:rPr>
          <w:rFonts w:ascii="Century Gothic" w:eastAsia="Times New Roman" w:hAnsi="Century Gothic" w:cs="Times New Roman"/>
          <w:b/>
          <w:bCs/>
          <w:kern w:val="36"/>
        </w:rPr>
      </w:pPr>
      <w:r w:rsidRPr="00B7659F">
        <w:rPr>
          <w:rFonts w:ascii="Century Gothic" w:eastAsia="Times New Roman" w:hAnsi="Century Gothic" w:cs="Times New Roman"/>
          <w:b/>
          <w:bCs/>
          <w:kern w:val="36"/>
        </w:rPr>
        <w:t>Al-</w:t>
      </w:r>
      <w:proofErr w:type="spellStart"/>
      <w:r w:rsidRPr="00B7659F">
        <w:rPr>
          <w:rFonts w:ascii="Century Gothic" w:eastAsia="Times New Roman" w:hAnsi="Century Gothic" w:cs="Times New Roman"/>
          <w:b/>
          <w:bCs/>
          <w:kern w:val="36"/>
        </w:rPr>
        <w:t>Manfalouti</w:t>
      </w:r>
      <w:proofErr w:type="spellEnd"/>
      <w:r w:rsidRPr="00B7659F">
        <w:rPr>
          <w:rFonts w:ascii="Century Gothic" w:eastAsia="Times New Roman" w:hAnsi="Century Gothic" w:cs="Times New Roman"/>
          <w:b/>
          <w:bCs/>
          <w:kern w:val="36"/>
        </w:rPr>
        <w:t xml:space="preserve">, Mustafa </w:t>
      </w:r>
      <w:proofErr w:type="spellStart"/>
      <w:r w:rsidRPr="00B7659F">
        <w:rPr>
          <w:rFonts w:ascii="Century Gothic" w:eastAsia="Times New Roman" w:hAnsi="Century Gothic" w:cs="Times New Roman"/>
          <w:b/>
          <w:bCs/>
          <w:kern w:val="36"/>
        </w:rPr>
        <w:t>Lutfi</w:t>
      </w:r>
      <w:proofErr w:type="spellEnd"/>
    </w:p>
    <w:p w:rsidR="00512CE6" w:rsidRPr="00B7659F" w:rsidRDefault="00512CE6" w:rsidP="00B7659F">
      <w:pPr>
        <w:spacing w:before="100" w:beforeAutospacing="1" w:after="100" w:afterAutospacing="1" w:line="360" w:lineRule="auto"/>
        <w:jc w:val="center"/>
        <w:outlineLvl w:val="0"/>
        <w:rPr>
          <w:rFonts w:ascii="Century Gothic" w:eastAsia="Times New Roman" w:hAnsi="Century Gothic" w:cs="Times New Roman"/>
          <w:b/>
          <w:bCs/>
          <w:kern w:val="36"/>
        </w:rPr>
      </w:pPr>
      <w:r w:rsidRPr="00B7659F">
        <w:rPr>
          <w:rFonts w:ascii="Century Gothic" w:eastAsia="Times New Roman" w:hAnsi="Century Gothic" w:cs="Times New Roman"/>
          <w:b/>
          <w:bCs/>
          <w:kern w:val="36"/>
        </w:rPr>
        <w:t>By Mahmoud AA Ibrahim</w:t>
      </w:r>
    </w:p>
    <w:p w:rsidR="00512CE6" w:rsidRPr="00B7659F" w:rsidRDefault="00512CE6" w:rsidP="00B7659F">
      <w:pPr>
        <w:spacing w:before="100" w:beforeAutospacing="1" w:after="100" w:afterAutospacing="1" w:line="360" w:lineRule="auto"/>
        <w:outlineLvl w:val="0"/>
        <w:rPr>
          <w:rFonts w:ascii="Century Gothic" w:eastAsia="Times New Roman" w:hAnsi="Century Gothic" w:cs="Times New Roman"/>
          <w:b/>
          <w:bCs/>
          <w:kern w:val="36"/>
        </w:rPr>
      </w:pPr>
    </w:p>
    <w:p w:rsidR="00AC17F7" w:rsidRPr="00B7659F" w:rsidRDefault="00401BE9" w:rsidP="00B7659F">
      <w:pPr>
        <w:spacing w:before="100" w:beforeAutospacing="1" w:after="100" w:afterAutospacing="1" w:line="360" w:lineRule="auto"/>
        <w:outlineLvl w:val="0"/>
        <w:rPr>
          <w:rFonts w:ascii="Century Gothic" w:eastAsia="Times New Roman" w:hAnsi="Century Gothic" w:cs="Times New Roman"/>
          <w:b/>
          <w:bCs/>
          <w:kern w:val="36"/>
        </w:rPr>
      </w:pPr>
      <w:r w:rsidRPr="00B7659F">
        <w:rPr>
          <w:rFonts w:ascii="Century Gothic" w:eastAsia="Times New Roman" w:hAnsi="Century Gothic" w:cs="Times New Roman"/>
          <w:b/>
          <w:bCs/>
          <w:i/>
          <w:iCs/>
          <w:noProof/>
          <w:kern w:val="36"/>
        </w:rPr>
        <w:drawing>
          <wp:inline distT="0" distB="0" distL="0" distR="0" wp14:anchorId="022FCFD8" wp14:editId="7F454757">
            <wp:extent cx="2851150" cy="1600200"/>
            <wp:effectExtent l="0" t="0" r="6350" b="0"/>
            <wp:docPr id="1" name="Picture 1" descr="C:\Users\Mahmoud\Desktop\Manfalo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moud\Desktop\Manfalout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52" w:rsidRPr="00B7659F" w:rsidRDefault="00555952" w:rsidP="00B7659F">
      <w:pPr>
        <w:bidi/>
        <w:spacing w:line="360" w:lineRule="auto"/>
        <w:rPr>
          <w:rFonts w:ascii="Century Gothic" w:hAnsi="Century Gothic"/>
          <w:b/>
          <w:bCs/>
          <w:color w:val="000080"/>
          <w:bdr w:val="none" w:sz="0" w:space="0" w:color="auto" w:frame="1"/>
        </w:rPr>
      </w:pPr>
    </w:p>
    <w:p w:rsidR="00620FB4" w:rsidRDefault="00331DF7" w:rsidP="00D92EB0">
      <w:pPr>
        <w:spacing w:before="100" w:beforeAutospacing="1" w:after="100" w:afterAutospacing="1" w:line="360" w:lineRule="auto"/>
        <w:jc w:val="both"/>
        <w:rPr>
          <w:rFonts w:ascii="Century Gothic" w:hAnsi="Century Gothic"/>
          <w:bdr w:val="none" w:sz="0" w:space="0" w:color="auto" w:frame="1"/>
        </w:rPr>
      </w:pPr>
      <w:r w:rsidRPr="00B7659F">
        <w:rPr>
          <w:rFonts w:ascii="Century Gothic" w:hAnsi="Century Gothic"/>
          <w:bdr w:val="none" w:sz="0" w:space="0" w:color="auto" w:frame="1"/>
        </w:rPr>
        <w:t xml:space="preserve">Mustafa </w:t>
      </w:r>
      <w:proofErr w:type="spellStart"/>
      <w:r w:rsidRPr="00B7659F">
        <w:rPr>
          <w:rFonts w:ascii="Century Gothic" w:hAnsi="Century Gothic"/>
          <w:bdr w:val="none" w:sz="0" w:space="0" w:color="auto" w:frame="1"/>
        </w:rPr>
        <w:t>Lutfi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al-</w:t>
      </w:r>
      <w:proofErr w:type="spellStart"/>
      <w:r w:rsidR="001E3673" w:rsidRPr="00B7659F">
        <w:rPr>
          <w:rFonts w:ascii="Century Gothic" w:hAnsi="Century Gothic"/>
          <w:bdr w:val="none" w:sz="0" w:space="0" w:color="auto" w:frame="1"/>
        </w:rPr>
        <w:t>M</w:t>
      </w:r>
      <w:r w:rsidRPr="00B7659F">
        <w:rPr>
          <w:rFonts w:ascii="Century Gothic" w:hAnsi="Century Gothic"/>
          <w:bdr w:val="none" w:sz="0" w:space="0" w:color="auto" w:frame="1"/>
        </w:rPr>
        <w:t>anfalouti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(</w:t>
      </w:r>
      <w:r w:rsidRPr="00B7659F">
        <w:rPr>
          <w:rFonts w:ascii="Century Gothic" w:eastAsia="Times New Roman" w:hAnsi="Century Gothic" w:cs="Times New Roman"/>
        </w:rPr>
        <w:t>1876-1924)</w:t>
      </w:r>
      <w:r w:rsidR="001E3673" w:rsidRPr="00B7659F">
        <w:rPr>
          <w:rFonts w:ascii="Century Gothic" w:eastAsia="Times New Roman" w:hAnsi="Century Gothic" w:cs="Times New Roman"/>
        </w:rPr>
        <w:t xml:space="preserve"> is one of</w:t>
      </w:r>
      <w:r w:rsidRPr="00B7659F">
        <w:rPr>
          <w:rFonts w:ascii="Century Gothic" w:eastAsia="Times New Roman" w:hAnsi="Century Gothic" w:cs="Times New Roman"/>
        </w:rPr>
        <w:t xml:space="preserve"> Egypt’s greatest modern </w:t>
      </w:r>
      <w:r w:rsidR="00D92EB0">
        <w:rPr>
          <w:rFonts w:ascii="Century Gothic" w:hAnsi="Century Gothic"/>
          <w:bdr w:val="none" w:sz="0" w:space="0" w:color="auto" w:frame="1"/>
        </w:rPr>
        <w:t>prose writers and poets.</w:t>
      </w:r>
      <w:r w:rsidR="00D6770E" w:rsidRPr="00B7659F">
        <w:rPr>
          <w:rFonts w:ascii="Century Gothic" w:hAnsi="Century Gothic"/>
          <w:bdr w:val="none" w:sz="0" w:space="0" w:color="auto" w:frame="1"/>
        </w:rPr>
        <w:t xml:space="preserve"> He was born in the Upper Egyptian city of </w:t>
      </w:r>
      <w:proofErr w:type="spellStart"/>
      <w:r w:rsidR="00D6770E" w:rsidRPr="00B7659F">
        <w:rPr>
          <w:rFonts w:ascii="Century Gothic" w:hAnsi="Century Gothic"/>
          <w:bdr w:val="none" w:sz="0" w:space="0" w:color="auto" w:frame="1"/>
        </w:rPr>
        <w:t>Manfalout</w:t>
      </w:r>
      <w:proofErr w:type="spellEnd"/>
      <w:r w:rsidR="009E2391" w:rsidRPr="00B7659F">
        <w:rPr>
          <w:rFonts w:ascii="Century Gothic" w:hAnsi="Century Gothic"/>
          <w:bdr w:val="none" w:sz="0" w:space="0" w:color="auto" w:frame="1"/>
        </w:rPr>
        <w:t xml:space="preserve"> to an Egyptian father and Turkish mother. He belonged to a noble family and his father and forefathers serve</w:t>
      </w:r>
      <w:r w:rsidR="00D92EB0">
        <w:rPr>
          <w:rFonts w:ascii="Century Gothic" w:hAnsi="Century Gothic"/>
          <w:bdr w:val="none" w:sz="0" w:space="0" w:color="auto" w:frame="1"/>
        </w:rPr>
        <w:t>d</w:t>
      </w:r>
      <w:r w:rsidR="009E2391" w:rsidRPr="00B7659F">
        <w:rPr>
          <w:rFonts w:ascii="Century Gothic" w:hAnsi="Century Gothic"/>
          <w:bdr w:val="none" w:sz="0" w:space="0" w:color="auto" w:frame="1"/>
        </w:rPr>
        <w:t xml:space="preserve"> as Sharia judges and head</w:t>
      </w:r>
      <w:r w:rsidR="001B7C94" w:rsidRPr="00B7659F">
        <w:rPr>
          <w:rFonts w:ascii="Century Gothic" w:hAnsi="Century Gothic"/>
          <w:bdr w:val="none" w:sz="0" w:space="0" w:color="auto" w:frame="1"/>
        </w:rPr>
        <w:t>s</w:t>
      </w:r>
      <w:r w:rsidR="009E2391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of </w:t>
      </w:r>
      <w:r w:rsidR="009E2391" w:rsidRPr="00B7659F">
        <w:rPr>
          <w:rFonts w:ascii="Century Gothic" w:hAnsi="Century Gothic"/>
          <w:bdr w:val="none" w:sz="0" w:space="0" w:color="auto" w:frame="1"/>
        </w:rPr>
        <w:t xml:space="preserve">the </w:t>
      </w:r>
      <w:r w:rsidR="001E3673" w:rsidRPr="00B7659F">
        <w:rPr>
          <w:rFonts w:ascii="Century Gothic" w:hAnsi="Century Gothic"/>
          <w:bdr w:val="none" w:sz="0" w:space="0" w:color="auto" w:frame="1"/>
        </w:rPr>
        <w:t>S</w:t>
      </w:r>
      <w:r w:rsidR="009E2391" w:rsidRPr="00B7659F">
        <w:rPr>
          <w:rFonts w:ascii="Century Gothic" w:hAnsi="Century Gothic"/>
          <w:bdr w:val="none" w:sz="0" w:space="0" w:color="auto" w:frame="1"/>
        </w:rPr>
        <w:t xml:space="preserve">ufi </w:t>
      </w:r>
      <w:r w:rsidR="001B7C94" w:rsidRPr="00B7659F">
        <w:rPr>
          <w:rFonts w:ascii="Century Gothic" w:hAnsi="Century Gothic"/>
          <w:bdr w:val="none" w:sz="0" w:space="0" w:color="auto" w:frame="1"/>
        </w:rPr>
        <w:t>S</w:t>
      </w:r>
      <w:r w:rsidR="009E2391" w:rsidRPr="00B7659F">
        <w:rPr>
          <w:rFonts w:ascii="Century Gothic" w:hAnsi="Century Gothic"/>
          <w:bdr w:val="none" w:sz="0" w:space="0" w:color="auto" w:frame="1"/>
        </w:rPr>
        <w:t xml:space="preserve">yndicates. He followed the steps of his fathers </w:t>
      </w:r>
      <w:r w:rsidR="00D92EB0">
        <w:rPr>
          <w:rFonts w:ascii="Century Gothic" w:hAnsi="Century Gothic"/>
          <w:bdr w:val="none" w:sz="0" w:space="0" w:color="auto" w:frame="1"/>
        </w:rPr>
        <w:t>and</w:t>
      </w:r>
      <w:r w:rsidR="009E2391" w:rsidRPr="00B7659F">
        <w:rPr>
          <w:rFonts w:ascii="Century Gothic" w:hAnsi="Century Gothic"/>
          <w:bdr w:val="none" w:sz="0" w:space="0" w:color="auto" w:frame="1"/>
        </w:rPr>
        <w:t xml:space="preserve"> memorized the entire </w:t>
      </w:r>
      <w:r w:rsidR="009E2391" w:rsidRPr="00656711">
        <w:rPr>
          <w:rFonts w:ascii="Century Gothic" w:hAnsi="Century Gothic"/>
          <w:bdr w:val="none" w:sz="0" w:space="0" w:color="auto" w:frame="1"/>
        </w:rPr>
        <w:t>Quran</w:t>
      </w:r>
      <w:r w:rsidR="009E2391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656711">
        <w:rPr>
          <w:rFonts w:ascii="Century Gothic" w:hAnsi="Century Gothic"/>
          <w:bdr w:val="none" w:sz="0" w:space="0" w:color="auto" w:frame="1"/>
        </w:rPr>
        <w:t>at</w:t>
      </w:r>
      <w:r w:rsidR="00656711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9E2391" w:rsidRPr="00B7659F">
        <w:rPr>
          <w:rFonts w:ascii="Century Gothic" w:hAnsi="Century Gothic"/>
          <w:bdr w:val="none" w:sz="0" w:space="0" w:color="auto" w:frame="1"/>
        </w:rPr>
        <w:t>a young age</w:t>
      </w:r>
      <w:r w:rsidR="00656711">
        <w:rPr>
          <w:rFonts w:ascii="Century Gothic" w:hAnsi="Century Gothic"/>
          <w:bdr w:val="none" w:sz="0" w:space="0" w:color="auto" w:frame="1"/>
        </w:rPr>
        <w:t>,</w:t>
      </w:r>
      <w:r w:rsidR="009E2391" w:rsidRPr="00B7659F">
        <w:rPr>
          <w:rFonts w:ascii="Century Gothic" w:hAnsi="Century Gothic"/>
          <w:bdr w:val="none" w:sz="0" w:space="0" w:color="auto" w:frame="1"/>
        </w:rPr>
        <w:t xml:space="preserve"> and joined al-</w:t>
      </w:r>
      <w:proofErr w:type="spellStart"/>
      <w:r w:rsidR="009E2391" w:rsidRPr="00B7659F">
        <w:rPr>
          <w:rFonts w:ascii="Century Gothic" w:hAnsi="Century Gothic"/>
          <w:bdr w:val="none" w:sz="0" w:space="0" w:color="auto" w:frame="1"/>
        </w:rPr>
        <w:t>Azhar</w:t>
      </w:r>
      <w:proofErr w:type="spellEnd"/>
      <w:r w:rsidR="009E2391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D92EB0">
        <w:rPr>
          <w:rFonts w:ascii="Century Gothic" w:hAnsi="Century Gothic"/>
          <w:bdr w:val="none" w:sz="0" w:space="0" w:color="auto" w:frame="1"/>
        </w:rPr>
        <w:t xml:space="preserve">University </w:t>
      </w:r>
      <w:r w:rsidR="009E2391" w:rsidRPr="00B7659F">
        <w:rPr>
          <w:rFonts w:ascii="Century Gothic" w:hAnsi="Century Gothic"/>
          <w:bdr w:val="none" w:sz="0" w:space="0" w:color="auto" w:frame="1"/>
        </w:rPr>
        <w:t>in Cairo</w:t>
      </w:r>
      <w:r w:rsidR="002E7912" w:rsidRPr="00B7659F">
        <w:rPr>
          <w:rFonts w:ascii="Century Gothic" w:hAnsi="Century Gothic"/>
          <w:bdr w:val="none" w:sz="0" w:space="0" w:color="auto" w:frame="1"/>
        </w:rPr>
        <w:t xml:space="preserve"> where he was taught by </w:t>
      </w:r>
      <w:r w:rsidR="001E3673" w:rsidRPr="00B7659F">
        <w:rPr>
          <w:rFonts w:ascii="Century Gothic" w:hAnsi="Century Gothic"/>
          <w:bdr w:val="none" w:sz="0" w:space="0" w:color="auto" w:frame="1"/>
        </w:rPr>
        <w:t>renowned</w:t>
      </w:r>
      <w:r w:rsidR="002E7912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1E3673" w:rsidRPr="00B7659F">
        <w:rPr>
          <w:rFonts w:ascii="Century Gothic" w:hAnsi="Century Gothic"/>
          <w:bdr w:val="none" w:sz="0" w:space="0" w:color="auto" w:frame="1"/>
        </w:rPr>
        <w:t>scholars</w:t>
      </w:r>
      <w:r w:rsidR="002E7912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656711">
        <w:rPr>
          <w:rFonts w:ascii="Century Gothic" w:hAnsi="Century Gothic"/>
          <w:bdr w:val="none" w:sz="0" w:space="0" w:color="auto" w:frame="1"/>
        </w:rPr>
        <w:t>such as</w:t>
      </w:r>
      <w:r w:rsidR="00656711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D92EB0" w:rsidRPr="00B7659F">
        <w:rPr>
          <w:rFonts w:ascii="Century Gothic" w:hAnsi="Century Gothic"/>
          <w:bdr w:val="none" w:sz="0" w:space="0" w:color="auto" w:frame="1"/>
        </w:rPr>
        <w:t>Sheikh</w:t>
      </w:r>
      <w:r w:rsidR="002E7912" w:rsidRPr="00B7659F">
        <w:rPr>
          <w:rFonts w:ascii="Century Gothic" w:hAnsi="Century Gothic"/>
          <w:bdr w:val="none" w:sz="0" w:space="0" w:color="auto" w:frame="1"/>
        </w:rPr>
        <w:t xml:space="preserve"> Muhammad </w:t>
      </w:r>
      <w:proofErr w:type="spellStart"/>
      <w:r w:rsidR="002E7912" w:rsidRPr="00B7659F">
        <w:rPr>
          <w:rFonts w:ascii="Century Gothic" w:hAnsi="Century Gothic"/>
          <w:bdr w:val="none" w:sz="0" w:space="0" w:color="auto" w:frame="1"/>
        </w:rPr>
        <w:t>Abduh</w:t>
      </w:r>
      <w:proofErr w:type="spellEnd"/>
      <w:r w:rsidR="002E7912" w:rsidRPr="00B7659F">
        <w:rPr>
          <w:rFonts w:ascii="Century Gothic" w:hAnsi="Century Gothic"/>
          <w:bdr w:val="none" w:sz="0" w:space="0" w:color="auto" w:frame="1"/>
        </w:rPr>
        <w:t xml:space="preserve">. His love of literature made him always inclined </w:t>
      </w:r>
      <w:r w:rsidR="00656711">
        <w:rPr>
          <w:rFonts w:ascii="Century Gothic" w:hAnsi="Century Gothic"/>
          <w:bdr w:val="none" w:sz="0" w:space="0" w:color="auto" w:frame="1"/>
        </w:rPr>
        <w:t>to</w:t>
      </w:r>
      <w:r w:rsidR="00656711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7056FC" w:rsidRPr="00B7659F">
        <w:rPr>
          <w:rFonts w:ascii="Century Gothic" w:hAnsi="Century Gothic"/>
          <w:bdr w:val="none" w:sz="0" w:space="0" w:color="auto" w:frame="1"/>
        </w:rPr>
        <w:t>reading literary works</w:t>
      </w:r>
      <w:r w:rsidR="00656711">
        <w:rPr>
          <w:rFonts w:ascii="Century Gothic" w:hAnsi="Century Gothic"/>
          <w:bdr w:val="none" w:sz="0" w:space="0" w:color="auto" w:frame="1"/>
        </w:rPr>
        <w:t>,</w:t>
      </w:r>
      <w:r w:rsidR="007056FC" w:rsidRPr="00B7659F">
        <w:rPr>
          <w:rFonts w:ascii="Century Gothic" w:hAnsi="Century Gothic"/>
          <w:bdr w:val="none" w:sz="0" w:space="0" w:color="auto" w:frame="1"/>
        </w:rPr>
        <w:t xml:space="preserve"> especially</w:t>
      </w:r>
      <w:r w:rsidR="002E7912" w:rsidRPr="00B7659F">
        <w:rPr>
          <w:rFonts w:ascii="Century Gothic" w:hAnsi="Century Gothic"/>
          <w:bdr w:val="none" w:sz="0" w:space="0" w:color="auto" w:frame="1"/>
        </w:rPr>
        <w:t xml:space="preserve"> those of al-</w:t>
      </w:r>
      <w:proofErr w:type="spellStart"/>
      <w:r w:rsidR="002E7912" w:rsidRPr="00B7659F">
        <w:rPr>
          <w:rFonts w:ascii="Century Gothic" w:hAnsi="Century Gothic"/>
          <w:bdr w:val="none" w:sz="0" w:space="0" w:color="auto" w:frame="1"/>
        </w:rPr>
        <w:t>Jahiz</w:t>
      </w:r>
      <w:proofErr w:type="spellEnd"/>
      <w:r w:rsidR="002E7912" w:rsidRPr="00B7659F">
        <w:rPr>
          <w:rFonts w:ascii="Century Gothic" w:hAnsi="Century Gothic"/>
          <w:bdr w:val="none" w:sz="0" w:space="0" w:color="auto" w:frame="1"/>
        </w:rPr>
        <w:t>, al-</w:t>
      </w:r>
      <w:proofErr w:type="spellStart"/>
      <w:r w:rsidR="002E7912" w:rsidRPr="00B7659F">
        <w:rPr>
          <w:rFonts w:ascii="Century Gothic" w:hAnsi="Century Gothic"/>
          <w:bdr w:val="none" w:sz="0" w:space="0" w:color="auto" w:frame="1"/>
        </w:rPr>
        <w:t>Mutanabi</w:t>
      </w:r>
      <w:proofErr w:type="spellEnd"/>
      <w:r w:rsidR="002E7912" w:rsidRPr="00B7659F">
        <w:rPr>
          <w:rFonts w:ascii="Century Gothic" w:hAnsi="Century Gothic"/>
          <w:bdr w:val="none" w:sz="0" w:space="0" w:color="auto" w:frame="1"/>
        </w:rPr>
        <w:t xml:space="preserve"> and Abu al-`Ala</w:t>
      </w:r>
      <w:r w:rsidR="001E3673" w:rsidRPr="00B7659F">
        <w:rPr>
          <w:rFonts w:ascii="Century Gothic" w:hAnsi="Century Gothic"/>
          <w:bdr w:val="none" w:sz="0" w:space="0" w:color="auto" w:frame="1"/>
        </w:rPr>
        <w:t>’</w:t>
      </w:r>
      <w:r w:rsidR="002E7912" w:rsidRPr="00B7659F">
        <w:rPr>
          <w:rFonts w:ascii="Century Gothic" w:hAnsi="Century Gothic"/>
          <w:bdr w:val="none" w:sz="0" w:space="0" w:color="auto" w:frame="1"/>
        </w:rPr>
        <w:t xml:space="preserve"> al-</w:t>
      </w:r>
      <w:proofErr w:type="spellStart"/>
      <w:r w:rsidR="002E7912" w:rsidRPr="00B7659F">
        <w:rPr>
          <w:rFonts w:ascii="Century Gothic" w:hAnsi="Century Gothic"/>
          <w:bdr w:val="none" w:sz="0" w:space="0" w:color="auto" w:frame="1"/>
        </w:rPr>
        <w:t>Ma`arri</w:t>
      </w:r>
      <w:proofErr w:type="spellEnd"/>
      <w:r w:rsidR="002E7912" w:rsidRPr="00B7659F">
        <w:rPr>
          <w:rFonts w:ascii="Century Gothic" w:hAnsi="Century Gothic"/>
          <w:bdr w:val="none" w:sz="0" w:space="0" w:color="auto" w:frame="1"/>
        </w:rPr>
        <w:t xml:space="preserve">. This granted him a unique and eloquent style of writing that relies largely on his feelings, emotions and sensibilities. This style later came to be known as </w:t>
      </w:r>
      <w:r w:rsidR="002E7912" w:rsidRPr="0085191F">
        <w:rPr>
          <w:rFonts w:ascii="Century Gothic" w:hAnsi="Century Gothic"/>
          <w:iCs/>
          <w:bdr w:val="none" w:sz="0" w:space="0" w:color="auto" w:frame="1"/>
        </w:rPr>
        <w:t>al-Tariqa al-</w:t>
      </w:r>
      <w:proofErr w:type="spellStart"/>
      <w:r w:rsidR="002E7912" w:rsidRPr="0085191F">
        <w:rPr>
          <w:rFonts w:ascii="Century Gothic" w:hAnsi="Century Gothic"/>
          <w:iCs/>
          <w:bdr w:val="none" w:sz="0" w:space="0" w:color="auto" w:frame="1"/>
        </w:rPr>
        <w:t>Manfaloutiyya</w:t>
      </w:r>
      <w:proofErr w:type="spellEnd"/>
      <w:r w:rsidR="002E7912" w:rsidRPr="0085191F">
        <w:rPr>
          <w:rFonts w:ascii="Century Gothic" w:hAnsi="Century Gothic"/>
          <w:iCs/>
          <w:bdr w:val="none" w:sz="0" w:space="0" w:color="auto" w:frame="1"/>
        </w:rPr>
        <w:t xml:space="preserve"> fi al-</w:t>
      </w:r>
      <w:proofErr w:type="spellStart"/>
      <w:r w:rsidR="002E7912" w:rsidRPr="0085191F">
        <w:rPr>
          <w:rFonts w:ascii="Century Gothic" w:hAnsi="Century Gothic"/>
          <w:iCs/>
          <w:bdr w:val="none" w:sz="0" w:space="0" w:color="auto" w:frame="1"/>
        </w:rPr>
        <w:t>Kitaba</w:t>
      </w:r>
      <w:proofErr w:type="spellEnd"/>
      <w:r w:rsidR="002E7912" w:rsidRPr="00B7659F">
        <w:rPr>
          <w:rFonts w:ascii="Century Gothic" w:hAnsi="Century Gothic"/>
          <w:bdr w:val="none" w:sz="0" w:space="0" w:color="auto" w:frame="1"/>
        </w:rPr>
        <w:t xml:space="preserve"> (The </w:t>
      </w:r>
      <w:proofErr w:type="spellStart"/>
      <w:r w:rsidR="002E7912" w:rsidRPr="00B7659F">
        <w:rPr>
          <w:rFonts w:ascii="Century Gothic" w:hAnsi="Century Gothic"/>
          <w:bdr w:val="none" w:sz="0" w:space="0" w:color="auto" w:frame="1"/>
        </w:rPr>
        <w:t>Manfalouti</w:t>
      </w:r>
      <w:proofErr w:type="spellEnd"/>
      <w:r w:rsidR="002E7912" w:rsidRPr="00B7659F">
        <w:rPr>
          <w:rFonts w:ascii="Century Gothic" w:hAnsi="Century Gothic"/>
          <w:bdr w:val="none" w:sz="0" w:space="0" w:color="auto" w:frame="1"/>
        </w:rPr>
        <w:t xml:space="preserve"> style of writing).</w:t>
      </w:r>
    </w:p>
    <w:p w:rsidR="00111D6B" w:rsidRPr="00B7659F" w:rsidRDefault="00111D6B" w:rsidP="00111D6B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</w:rPr>
      </w:pPr>
      <w:r w:rsidRPr="00B7659F">
        <w:rPr>
          <w:rFonts w:ascii="Century Gothic" w:eastAsia="Times New Roman" w:hAnsi="Century Gothic" w:cs="Times New Roman"/>
        </w:rPr>
        <w:t>As a poet, he is not as prolific or distinguished as other great poets of the age</w:t>
      </w:r>
      <w:r w:rsidR="00656711">
        <w:rPr>
          <w:rFonts w:ascii="Century Gothic" w:eastAsia="Times New Roman" w:hAnsi="Century Gothic" w:cs="Times New Roman"/>
        </w:rPr>
        <w:t>,</w:t>
      </w:r>
      <w:r w:rsidRPr="00B7659F">
        <w:rPr>
          <w:rFonts w:ascii="Century Gothic" w:eastAsia="Times New Roman" w:hAnsi="Century Gothic" w:cs="Times New Roman"/>
        </w:rPr>
        <w:t xml:space="preserve"> such as Ahmad </w:t>
      </w:r>
      <w:proofErr w:type="spellStart"/>
      <w:r w:rsidRPr="00B7659F">
        <w:rPr>
          <w:rFonts w:ascii="Century Gothic" w:eastAsia="Times New Roman" w:hAnsi="Century Gothic" w:cs="Times New Roman"/>
        </w:rPr>
        <w:t>Shawqi</w:t>
      </w:r>
      <w:proofErr w:type="spellEnd"/>
      <w:r w:rsidRPr="00B7659F">
        <w:rPr>
          <w:rFonts w:ascii="Century Gothic" w:eastAsia="Times New Roman" w:hAnsi="Century Gothic" w:cs="Times New Roman"/>
        </w:rPr>
        <w:t>, Hafiz Ibrahim</w:t>
      </w:r>
      <w:r w:rsidR="00656711">
        <w:rPr>
          <w:rFonts w:ascii="Century Gothic" w:eastAsia="Times New Roman" w:hAnsi="Century Gothic" w:cs="Times New Roman"/>
        </w:rPr>
        <w:t>,</w:t>
      </w:r>
      <w:r w:rsidRPr="00B7659F">
        <w:rPr>
          <w:rFonts w:ascii="Century Gothic" w:eastAsia="Times New Roman" w:hAnsi="Century Gothic" w:cs="Times New Roman"/>
        </w:rPr>
        <w:t xml:space="preserve"> and Mahmoud Sami al-</w:t>
      </w:r>
      <w:proofErr w:type="spellStart"/>
      <w:r w:rsidRPr="00B7659F">
        <w:rPr>
          <w:rFonts w:ascii="Century Gothic" w:eastAsia="Times New Roman" w:hAnsi="Century Gothic" w:cs="Times New Roman"/>
        </w:rPr>
        <w:t>Baroudi</w:t>
      </w:r>
      <w:proofErr w:type="spellEnd"/>
      <w:r w:rsidRPr="00B7659F">
        <w:rPr>
          <w:rFonts w:ascii="Century Gothic" w:eastAsia="Times New Roman" w:hAnsi="Century Gothic" w:cs="Times New Roman"/>
        </w:rPr>
        <w:t>. All that he left in this regard was his</w:t>
      </w:r>
      <w:r w:rsidR="00656711">
        <w:rPr>
          <w:rFonts w:ascii="Century Gothic" w:eastAsia="Times New Roman" w:hAnsi="Century Gothic" w:cs="Times New Roman"/>
        </w:rPr>
        <w:t xml:space="preserve"> </w:t>
      </w:r>
      <w:r w:rsidRPr="00B7659F">
        <w:rPr>
          <w:rFonts w:ascii="Century Gothic" w:eastAsia="Times New Roman" w:hAnsi="Century Gothic" w:cs="Times New Roman"/>
        </w:rPr>
        <w:t>anthology</w:t>
      </w:r>
      <w:r>
        <w:rPr>
          <w:rFonts w:ascii="Century Gothic" w:eastAsia="Times New Roman" w:hAnsi="Century Gothic" w:cs="Times New Roman"/>
        </w:rPr>
        <w:t xml:space="preserve"> </w:t>
      </w:r>
      <w:proofErr w:type="spellStart"/>
      <w:r w:rsidRPr="00D42BD6">
        <w:rPr>
          <w:rFonts w:ascii="Century Gothic" w:eastAsia="Times New Roman" w:hAnsi="Century Gothic" w:cs="Times New Roman"/>
          <w:i/>
          <w:iCs/>
        </w:rPr>
        <w:t>Mukhtarat</w:t>
      </w:r>
      <w:proofErr w:type="spellEnd"/>
      <w:r w:rsidRPr="00D42BD6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Pr="00D42BD6">
        <w:rPr>
          <w:rFonts w:ascii="Century Gothic" w:eastAsia="Times New Roman" w:hAnsi="Century Gothic" w:cs="Times New Roman"/>
          <w:i/>
          <w:iCs/>
        </w:rPr>
        <w:t>Manfalouti</w:t>
      </w:r>
      <w:proofErr w:type="spellEnd"/>
      <w:r w:rsidRPr="00B7659F">
        <w:rPr>
          <w:rFonts w:ascii="Century Gothic" w:eastAsia="Times New Roman" w:hAnsi="Century Gothic" w:cs="Times New Roman"/>
        </w:rPr>
        <w:t xml:space="preserve"> in which he published some poems together with some prose. </w:t>
      </w:r>
    </w:p>
    <w:p w:rsidR="00111D6B" w:rsidRPr="00B7659F" w:rsidRDefault="00111D6B" w:rsidP="00D92EB0">
      <w:pPr>
        <w:spacing w:before="100" w:beforeAutospacing="1" w:after="100" w:afterAutospacing="1" w:line="360" w:lineRule="auto"/>
        <w:jc w:val="both"/>
        <w:rPr>
          <w:rFonts w:ascii="Century Gothic" w:hAnsi="Century Gothic"/>
          <w:bdr w:val="none" w:sz="0" w:space="0" w:color="auto" w:frame="1"/>
        </w:rPr>
      </w:pPr>
    </w:p>
    <w:p w:rsidR="00620FB4" w:rsidRPr="00B7659F" w:rsidRDefault="009E2391" w:rsidP="00111D6B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</w:rPr>
      </w:pPr>
      <w:r w:rsidRPr="00B7659F">
        <w:rPr>
          <w:rFonts w:ascii="Century Gothic" w:hAnsi="Century Gothic"/>
          <w:bdr w:val="none" w:sz="0" w:space="0" w:color="auto" w:frame="1"/>
        </w:rPr>
        <w:t xml:space="preserve"> Al-</w:t>
      </w:r>
      <w:proofErr w:type="spellStart"/>
      <w:r w:rsidRPr="00B7659F">
        <w:rPr>
          <w:rFonts w:ascii="Century Gothic" w:hAnsi="Century Gothic"/>
          <w:bdr w:val="none" w:sz="0" w:space="0" w:color="auto" w:frame="1"/>
        </w:rPr>
        <w:t>Manfalouti</w:t>
      </w:r>
      <w:proofErr w:type="spellEnd"/>
      <w:r w:rsidR="00331DF7" w:rsidRPr="00B7659F">
        <w:rPr>
          <w:rFonts w:ascii="Century Gothic" w:hAnsi="Century Gothic"/>
          <w:bdr w:val="none" w:sz="0" w:space="0" w:color="auto" w:frame="1"/>
        </w:rPr>
        <w:t xml:space="preserve"> mastered no other language </w:t>
      </w:r>
      <w:r w:rsidR="00656711">
        <w:rPr>
          <w:rFonts w:ascii="Century Gothic" w:hAnsi="Century Gothic"/>
          <w:bdr w:val="none" w:sz="0" w:space="0" w:color="auto" w:frame="1"/>
        </w:rPr>
        <w:t>e</w:t>
      </w:r>
      <w:r w:rsidR="00331DF7" w:rsidRPr="00B7659F">
        <w:rPr>
          <w:rFonts w:ascii="Century Gothic" w:hAnsi="Century Gothic"/>
          <w:bdr w:val="none" w:sz="0" w:space="0" w:color="auto" w:frame="1"/>
        </w:rPr>
        <w:t xml:space="preserve">xcept Arabic. Though he </w:t>
      </w:r>
      <w:r w:rsidR="00D6770E" w:rsidRPr="00B7659F">
        <w:rPr>
          <w:rFonts w:ascii="Century Gothic" w:hAnsi="Century Gothic"/>
          <w:bdr w:val="none" w:sz="0" w:space="0" w:color="auto" w:frame="1"/>
        </w:rPr>
        <w:t xml:space="preserve">quoted and </w:t>
      </w:r>
      <w:r w:rsidR="00111D6B">
        <w:rPr>
          <w:rFonts w:ascii="Century Gothic" w:hAnsi="Century Gothic"/>
          <w:bdr w:val="none" w:sz="0" w:space="0" w:color="auto" w:frame="1"/>
        </w:rPr>
        <w:t>adapted</w:t>
      </w:r>
      <w:r w:rsidR="00D6770E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D92EB0">
        <w:rPr>
          <w:rFonts w:ascii="Century Gothic" w:hAnsi="Century Gothic"/>
          <w:bdr w:val="none" w:sz="0" w:space="0" w:color="auto" w:frame="1"/>
        </w:rPr>
        <w:t xml:space="preserve">some </w:t>
      </w:r>
      <w:r w:rsidR="00D6770E" w:rsidRPr="00B7659F">
        <w:rPr>
          <w:rFonts w:ascii="Century Gothic" w:hAnsi="Century Gothic"/>
          <w:bdr w:val="none" w:sz="0" w:space="0" w:color="auto" w:frame="1"/>
        </w:rPr>
        <w:t xml:space="preserve">French literary works, his </w:t>
      </w:r>
      <w:r w:rsidR="00331DF7" w:rsidRPr="00B7659F">
        <w:rPr>
          <w:rFonts w:ascii="Century Gothic" w:hAnsi="Century Gothic"/>
          <w:bdr w:val="none" w:sz="0" w:space="0" w:color="auto" w:frame="1"/>
        </w:rPr>
        <w:t>French</w:t>
      </w:r>
      <w:r w:rsidR="00D6770E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331DF7" w:rsidRPr="00B7659F">
        <w:rPr>
          <w:rFonts w:ascii="Century Gothic" w:hAnsi="Century Gothic"/>
          <w:bdr w:val="none" w:sz="0" w:space="0" w:color="auto" w:frame="1"/>
        </w:rPr>
        <w:t xml:space="preserve">was not </w:t>
      </w:r>
      <w:r w:rsidR="00D6770E" w:rsidRPr="00B7659F">
        <w:rPr>
          <w:rFonts w:ascii="Century Gothic" w:hAnsi="Century Gothic"/>
          <w:bdr w:val="none" w:sz="0" w:space="0" w:color="auto" w:frame="1"/>
        </w:rPr>
        <w:t>strong</w:t>
      </w:r>
      <w:r w:rsidR="00656711">
        <w:rPr>
          <w:rFonts w:ascii="Century Gothic" w:hAnsi="Century Gothic"/>
          <w:bdr w:val="none" w:sz="0" w:space="0" w:color="auto" w:frame="1"/>
        </w:rPr>
        <w:t>,</w:t>
      </w:r>
      <w:r w:rsidR="00D6770E" w:rsidRPr="00B7659F">
        <w:rPr>
          <w:rFonts w:ascii="Century Gothic" w:hAnsi="Century Gothic"/>
          <w:bdr w:val="none" w:sz="0" w:space="0" w:color="auto" w:frame="1"/>
        </w:rPr>
        <w:t xml:space="preserve"> so he had to refer to some of his friends for help in translation. </w:t>
      </w:r>
      <w:proofErr w:type="gramStart"/>
      <w:r w:rsidR="00656711">
        <w:rPr>
          <w:rFonts w:ascii="Century Gothic" w:hAnsi="Century Gothic"/>
          <w:bdr w:val="none" w:sz="0" w:space="0" w:color="auto" w:frame="1"/>
        </w:rPr>
        <w:t>That done</w:t>
      </w:r>
      <w:r w:rsidR="00D6770E" w:rsidRPr="00B7659F">
        <w:rPr>
          <w:rFonts w:ascii="Century Gothic" w:hAnsi="Century Gothic"/>
          <w:bdr w:val="none" w:sz="0" w:space="0" w:color="auto" w:frame="1"/>
        </w:rPr>
        <w:t>, al-</w:t>
      </w:r>
      <w:proofErr w:type="spellStart"/>
      <w:r w:rsidR="00D6770E" w:rsidRPr="00B7659F">
        <w:rPr>
          <w:rFonts w:ascii="Century Gothic" w:hAnsi="Century Gothic"/>
          <w:bdr w:val="none" w:sz="0" w:space="0" w:color="auto" w:frame="1"/>
        </w:rPr>
        <w:t>Manfalouti</w:t>
      </w:r>
      <w:proofErr w:type="spellEnd"/>
      <w:r w:rsidR="00D6770E" w:rsidRPr="00B7659F">
        <w:rPr>
          <w:rFonts w:ascii="Century Gothic" w:hAnsi="Century Gothic"/>
          <w:bdr w:val="none" w:sz="0" w:space="0" w:color="auto" w:frame="1"/>
        </w:rPr>
        <w:t xml:space="preserve"> would rephrase and redraft the translation in eloquent </w:t>
      </w:r>
      <w:r w:rsidR="00111D6B">
        <w:rPr>
          <w:rFonts w:ascii="Century Gothic" w:hAnsi="Century Gothic"/>
          <w:bdr w:val="none" w:sz="0" w:space="0" w:color="auto" w:frame="1"/>
        </w:rPr>
        <w:t>ear</w:t>
      </w:r>
      <w:r w:rsidR="00D6770E" w:rsidRPr="00B7659F">
        <w:rPr>
          <w:rFonts w:ascii="Century Gothic" w:hAnsi="Century Gothic"/>
          <w:bdr w:val="none" w:sz="0" w:space="0" w:color="auto" w:frame="1"/>
        </w:rPr>
        <w:t>-catching Arabic literary st</w:t>
      </w:r>
      <w:r w:rsidRPr="00B7659F">
        <w:rPr>
          <w:rFonts w:ascii="Century Gothic" w:hAnsi="Century Gothic"/>
          <w:bdr w:val="none" w:sz="0" w:space="0" w:color="auto" w:frame="1"/>
        </w:rPr>
        <w:t>y</w:t>
      </w:r>
      <w:r w:rsidR="00D6770E" w:rsidRPr="00B7659F">
        <w:rPr>
          <w:rFonts w:ascii="Century Gothic" w:hAnsi="Century Gothic"/>
          <w:bdr w:val="none" w:sz="0" w:space="0" w:color="auto" w:frame="1"/>
        </w:rPr>
        <w:t>le.</w:t>
      </w:r>
      <w:proofErr w:type="gramEnd"/>
      <w:r w:rsidR="00D6770E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B7659F" w:rsidRPr="00B7659F">
        <w:rPr>
          <w:rFonts w:ascii="Century Gothic" w:eastAsia="Times New Roman" w:hAnsi="Century Gothic" w:cs="Times New Roman"/>
        </w:rPr>
        <w:t>As al-</w:t>
      </w:r>
      <w:proofErr w:type="spellStart"/>
      <w:r w:rsidR="00B7659F" w:rsidRPr="00B7659F">
        <w:rPr>
          <w:rFonts w:ascii="Century Gothic" w:eastAsia="Times New Roman" w:hAnsi="Century Gothic" w:cs="Times New Roman"/>
        </w:rPr>
        <w:t>Manfalouti</w:t>
      </w:r>
      <w:proofErr w:type="spellEnd"/>
      <w:r w:rsidR="00B7659F" w:rsidRPr="00B7659F">
        <w:rPr>
          <w:rFonts w:ascii="Century Gothic" w:eastAsia="Times New Roman" w:hAnsi="Century Gothic" w:cs="Times New Roman"/>
        </w:rPr>
        <w:t xml:space="preserve"> never travelled outside Egypt or mastered any foreign language, his language</w:t>
      </w:r>
      <w:r w:rsidR="00111D6B">
        <w:rPr>
          <w:rFonts w:ascii="Century Gothic" w:eastAsia="Times New Roman" w:hAnsi="Century Gothic" w:cs="Times New Roman"/>
        </w:rPr>
        <w:t xml:space="preserve"> and style</w:t>
      </w:r>
      <w:r w:rsidR="00B7659F" w:rsidRPr="00B7659F">
        <w:rPr>
          <w:rFonts w:ascii="Century Gothic" w:eastAsia="Times New Roman" w:hAnsi="Century Gothic" w:cs="Times New Roman"/>
        </w:rPr>
        <w:t xml:space="preserve"> was pure and uninvaded by foreign idioms</w:t>
      </w:r>
      <w:r w:rsidR="00D92EB0">
        <w:rPr>
          <w:rFonts w:ascii="Century Gothic" w:eastAsia="Times New Roman" w:hAnsi="Century Gothic" w:cs="Times New Roman"/>
        </w:rPr>
        <w:t xml:space="preserve"> and expressions</w:t>
      </w:r>
      <w:r w:rsidR="00B7659F" w:rsidRPr="00B7659F">
        <w:rPr>
          <w:rFonts w:ascii="Century Gothic" w:eastAsia="Times New Roman" w:hAnsi="Century Gothic" w:cs="Times New Roman"/>
        </w:rPr>
        <w:t xml:space="preserve">. Also, the translations ascribed to him were actually adaptations of pre-existing translations or translations made by his friends as per his request. Thus his adaptation and molding </w:t>
      </w:r>
      <w:r w:rsidR="00656711" w:rsidRPr="00B7659F">
        <w:rPr>
          <w:rFonts w:ascii="Century Gothic" w:eastAsia="Times New Roman" w:hAnsi="Century Gothic" w:cs="Times New Roman"/>
        </w:rPr>
        <w:t xml:space="preserve">of </w:t>
      </w:r>
      <w:r w:rsidR="00656711">
        <w:rPr>
          <w:rFonts w:ascii="Century Gothic" w:eastAsia="Times New Roman" w:hAnsi="Century Gothic" w:cs="Times New Roman"/>
        </w:rPr>
        <w:t>these</w:t>
      </w:r>
      <w:r w:rsidR="00656711" w:rsidRPr="00B7659F">
        <w:rPr>
          <w:rFonts w:ascii="Century Gothic" w:eastAsia="Times New Roman" w:hAnsi="Century Gothic" w:cs="Times New Roman"/>
        </w:rPr>
        <w:t xml:space="preserve"> translation</w:t>
      </w:r>
      <w:r w:rsidR="00656711">
        <w:rPr>
          <w:rFonts w:ascii="Century Gothic" w:eastAsia="Times New Roman" w:hAnsi="Century Gothic" w:cs="Times New Roman"/>
        </w:rPr>
        <w:t>s</w:t>
      </w:r>
      <w:r w:rsidR="00B7659F" w:rsidRPr="00B7659F">
        <w:rPr>
          <w:rFonts w:ascii="Century Gothic" w:eastAsia="Times New Roman" w:hAnsi="Century Gothic" w:cs="Times New Roman"/>
        </w:rPr>
        <w:t xml:space="preserve"> in his own style m</w:t>
      </w:r>
      <w:r w:rsidR="00656711">
        <w:rPr>
          <w:rFonts w:ascii="Century Gothic" w:eastAsia="Times New Roman" w:hAnsi="Century Gothic" w:cs="Times New Roman"/>
        </w:rPr>
        <w:t>ak</w:t>
      </w:r>
      <w:r w:rsidR="00B7659F" w:rsidRPr="00B7659F">
        <w:rPr>
          <w:rFonts w:ascii="Century Gothic" w:eastAsia="Times New Roman" w:hAnsi="Century Gothic" w:cs="Times New Roman"/>
        </w:rPr>
        <w:t xml:space="preserve">e them </w:t>
      </w:r>
      <w:r w:rsidR="00656711">
        <w:rPr>
          <w:rFonts w:ascii="Century Gothic" w:eastAsia="Times New Roman" w:hAnsi="Century Gothic" w:cs="Times New Roman"/>
        </w:rPr>
        <w:t xml:space="preserve">very much like </w:t>
      </w:r>
      <w:r w:rsidR="00B7659F" w:rsidRPr="00B7659F">
        <w:rPr>
          <w:rFonts w:ascii="Century Gothic" w:eastAsia="Times New Roman" w:hAnsi="Century Gothic" w:cs="Times New Roman"/>
        </w:rPr>
        <w:t xml:space="preserve">original works. </w:t>
      </w:r>
    </w:p>
    <w:p w:rsidR="007056FC" w:rsidRPr="00B7659F" w:rsidRDefault="00656711" w:rsidP="00B44DE7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</w:rPr>
      </w:pPr>
      <w:r>
        <w:rPr>
          <w:rFonts w:ascii="Century Gothic" w:hAnsi="Century Gothic"/>
          <w:bdr w:val="none" w:sz="0" w:space="0" w:color="auto" w:frame="1"/>
        </w:rPr>
        <w:t>Al-</w:t>
      </w:r>
      <w:proofErr w:type="spellStart"/>
      <w:r>
        <w:rPr>
          <w:rFonts w:ascii="Century Gothic" w:hAnsi="Century Gothic"/>
          <w:bdr w:val="none" w:sz="0" w:space="0" w:color="auto" w:frame="1"/>
        </w:rPr>
        <w:t>Manfalouti’s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D6770E" w:rsidRPr="00B7659F">
        <w:rPr>
          <w:rFonts w:ascii="Century Gothic" w:hAnsi="Century Gothic"/>
          <w:bdr w:val="none" w:sz="0" w:space="0" w:color="auto" w:frame="1"/>
        </w:rPr>
        <w:t xml:space="preserve">two books </w:t>
      </w:r>
      <w:r w:rsidR="00D6770E" w:rsidRPr="00D42BD6">
        <w:rPr>
          <w:rFonts w:ascii="Century Gothic" w:hAnsi="Century Gothic"/>
          <w:i/>
          <w:iCs/>
          <w:bdr w:val="none" w:sz="0" w:space="0" w:color="auto" w:frame="1"/>
        </w:rPr>
        <w:t>al-</w:t>
      </w:r>
      <w:proofErr w:type="spellStart"/>
      <w:r w:rsidR="00D6770E" w:rsidRPr="00D42BD6">
        <w:rPr>
          <w:rFonts w:ascii="Century Gothic" w:hAnsi="Century Gothic"/>
          <w:i/>
          <w:iCs/>
          <w:bdr w:val="none" w:sz="0" w:space="0" w:color="auto" w:frame="1"/>
        </w:rPr>
        <w:t>Nazarat</w:t>
      </w:r>
      <w:proofErr w:type="spellEnd"/>
      <w:r w:rsidR="00D6770E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9E2391" w:rsidRPr="00B7659F">
        <w:rPr>
          <w:rFonts w:ascii="Century Gothic" w:hAnsi="Century Gothic"/>
          <w:bdr w:val="none" w:sz="0" w:space="0" w:color="auto" w:frame="1"/>
        </w:rPr>
        <w:t>(</w:t>
      </w:r>
      <w:r w:rsidR="00B44DE7">
        <w:rPr>
          <w:rFonts w:ascii="Century Gothic" w:hAnsi="Century Gothic"/>
          <w:i/>
          <w:bdr w:val="none" w:sz="0" w:space="0" w:color="auto" w:frame="1"/>
        </w:rPr>
        <w:t>Sketches)</w:t>
      </w:r>
      <w:r w:rsidR="00B44DE7">
        <w:rPr>
          <w:rFonts w:ascii="Century Gothic" w:hAnsi="Century Gothic" w:hint="cs"/>
          <w:bdr w:val="none" w:sz="0" w:space="0" w:color="auto" w:frame="1"/>
          <w:rtl/>
        </w:rPr>
        <w:t xml:space="preserve"> (1910</w:t>
      </w:r>
      <w:proofErr w:type="gramStart"/>
      <w:r w:rsidR="00B44DE7">
        <w:rPr>
          <w:rFonts w:ascii="Century Gothic" w:hAnsi="Century Gothic" w:hint="cs"/>
          <w:bdr w:val="none" w:sz="0" w:space="0" w:color="auto" w:frame="1"/>
          <w:rtl/>
        </w:rPr>
        <w:t>)</w:t>
      </w:r>
      <w:r w:rsidR="00043F05" w:rsidRPr="00B7659F">
        <w:rPr>
          <w:rFonts w:ascii="Century Gothic" w:hAnsi="Century Gothic"/>
          <w:bdr w:val="none" w:sz="0" w:space="0" w:color="auto" w:frame="1"/>
        </w:rPr>
        <w:t>and</w:t>
      </w:r>
      <w:proofErr w:type="gramEnd"/>
      <w:r w:rsidR="00D6770E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D6770E" w:rsidRPr="00D42BD6">
        <w:rPr>
          <w:rFonts w:ascii="Century Gothic" w:hAnsi="Century Gothic"/>
          <w:i/>
          <w:iCs/>
          <w:bdr w:val="none" w:sz="0" w:space="0" w:color="auto" w:frame="1"/>
        </w:rPr>
        <w:t>al-</w:t>
      </w:r>
      <w:r w:rsidR="00043F05" w:rsidRPr="00D42BD6">
        <w:rPr>
          <w:rFonts w:ascii="Century Gothic" w:hAnsi="Century Gothic"/>
          <w:i/>
          <w:iCs/>
          <w:bdr w:val="none" w:sz="0" w:space="0" w:color="auto" w:frame="1"/>
        </w:rPr>
        <w:t>`</w:t>
      </w:r>
      <w:proofErr w:type="spellStart"/>
      <w:r w:rsidR="00D6770E" w:rsidRPr="00D42BD6">
        <w:rPr>
          <w:rFonts w:ascii="Century Gothic" w:hAnsi="Century Gothic"/>
          <w:i/>
          <w:iCs/>
          <w:bdr w:val="none" w:sz="0" w:space="0" w:color="auto" w:frame="1"/>
        </w:rPr>
        <w:t>Abarat</w:t>
      </w:r>
      <w:proofErr w:type="spellEnd"/>
      <w:r w:rsidR="00D6770E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9E2391" w:rsidRPr="00B7659F">
        <w:rPr>
          <w:rFonts w:ascii="Century Gothic" w:hAnsi="Century Gothic"/>
          <w:bdr w:val="none" w:sz="0" w:space="0" w:color="auto" w:frame="1"/>
        </w:rPr>
        <w:t>(</w:t>
      </w:r>
      <w:r w:rsidR="009E2391" w:rsidRPr="0085191F">
        <w:rPr>
          <w:rFonts w:ascii="Century Gothic" w:hAnsi="Century Gothic"/>
          <w:i/>
          <w:bdr w:val="none" w:sz="0" w:space="0" w:color="auto" w:frame="1"/>
        </w:rPr>
        <w:t>Tears</w:t>
      </w:r>
      <w:r w:rsidR="007056FC" w:rsidRPr="00B7659F">
        <w:rPr>
          <w:rFonts w:ascii="Century Gothic" w:hAnsi="Century Gothic"/>
          <w:bdr w:val="none" w:sz="0" w:space="0" w:color="auto" w:frame="1"/>
        </w:rPr>
        <w:t>)</w:t>
      </w:r>
      <w:r w:rsidR="00B44DE7">
        <w:rPr>
          <w:rFonts w:ascii="Century Gothic" w:hAnsi="Century Gothic"/>
          <w:bdr w:val="none" w:sz="0" w:space="0" w:color="auto" w:frame="1"/>
        </w:rPr>
        <w:t>(1916)</w:t>
      </w:r>
      <w:r w:rsidR="007056FC" w:rsidRPr="00B7659F">
        <w:rPr>
          <w:rFonts w:ascii="Century Gothic" w:hAnsi="Century Gothic"/>
          <w:bdr w:val="none" w:sz="0" w:space="0" w:color="auto" w:frame="1"/>
        </w:rPr>
        <w:t xml:space="preserve"> are</w:t>
      </w:r>
      <w:r w:rsidR="00D6770E" w:rsidRPr="00B7659F">
        <w:rPr>
          <w:rFonts w:ascii="Century Gothic" w:hAnsi="Century Gothic"/>
          <w:bdr w:val="none" w:sz="0" w:space="0" w:color="auto" w:frame="1"/>
        </w:rPr>
        <w:t xml:space="preserve"> among the most eloquently written </w:t>
      </w:r>
      <w:r w:rsidR="009E2391" w:rsidRPr="00B7659F">
        <w:rPr>
          <w:rFonts w:ascii="Century Gothic" w:hAnsi="Century Gothic"/>
          <w:bdr w:val="none" w:sz="0" w:space="0" w:color="auto" w:frame="1"/>
        </w:rPr>
        <w:t xml:space="preserve">and widely read </w:t>
      </w:r>
      <w:r w:rsidR="00D6770E" w:rsidRPr="00B7659F">
        <w:rPr>
          <w:rFonts w:ascii="Century Gothic" w:hAnsi="Century Gothic"/>
          <w:bdr w:val="none" w:sz="0" w:space="0" w:color="auto" w:frame="1"/>
        </w:rPr>
        <w:t xml:space="preserve">books in Modern Arabic </w:t>
      </w:r>
      <w:r w:rsidR="009E2391" w:rsidRPr="00B7659F">
        <w:rPr>
          <w:rFonts w:ascii="Century Gothic" w:hAnsi="Century Gothic"/>
          <w:bdr w:val="none" w:sz="0" w:space="0" w:color="auto" w:frame="1"/>
        </w:rPr>
        <w:t>literature</w:t>
      </w:r>
      <w:r w:rsidR="00D6770E" w:rsidRPr="00B7659F">
        <w:rPr>
          <w:rFonts w:ascii="Century Gothic" w:hAnsi="Century Gothic"/>
          <w:bdr w:val="none" w:sz="0" w:space="0" w:color="auto" w:frame="1"/>
        </w:rPr>
        <w:t>.</w:t>
      </w:r>
      <w:r w:rsidR="00163E0E" w:rsidRPr="00B7659F">
        <w:rPr>
          <w:rFonts w:ascii="Century Gothic" w:hAnsi="Century Gothic"/>
          <w:bdr w:val="none" w:sz="0" w:space="0" w:color="auto" w:frame="1"/>
        </w:rPr>
        <w:t xml:space="preserve"> His three-volume book </w:t>
      </w:r>
      <w:bookmarkStart w:id="0" w:name="OLE_LINK3"/>
      <w:bookmarkStart w:id="1" w:name="OLE_LINK4"/>
      <w:r w:rsidR="00163E0E" w:rsidRPr="00D42BD6">
        <w:rPr>
          <w:rFonts w:ascii="Century Gothic" w:hAnsi="Century Gothic"/>
          <w:i/>
          <w:iCs/>
          <w:bdr w:val="none" w:sz="0" w:space="0" w:color="auto" w:frame="1"/>
        </w:rPr>
        <w:t>al-</w:t>
      </w:r>
      <w:proofErr w:type="spellStart"/>
      <w:r w:rsidR="00163E0E" w:rsidRPr="00D42BD6">
        <w:rPr>
          <w:rFonts w:ascii="Century Gothic" w:hAnsi="Century Gothic"/>
          <w:i/>
          <w:iCs/>
          <w:bdr w:val="none" w:sz="0" w:space="0" w:color="auto" w:frame="1"/>
        </w:rPr>
        <w:t>Nazarat</w:t>
      </w:r>
      <w:proofErr w:type="spellEnd"/>
      <w:r w:rsidR="00163E0E" w:rsidRPr="00B7659F">
        <w:rPr>
          <w:rFonts w:ascii="Century Gothic" w:hAnsi="Century Gothic"/>
          <w:bdr w:val="none" w:sz="0" w:space="0" w:color="auto" w:frame="1"/>
        </w:rPr>
        <w:t xml:space="preserve"> </w:t>
      </w:r>
      <w:bookmarkEnd w:id="0"/>
      <w:bookmarkEnd w:id="1"/>
      <w:r w:rsidR="00163E0E" w:rsidRPr="00B7659F">
        <w:rPr>
          <w:rFonts w:ascii="Century Gothic" w:hAnsi="Century Gothic"/>
          <w:bdr w:val="none" w:sz="0" w:space="0" w:color="auto" w:frame="1"/>
        </w:rPr>
        <w:t xml:space="preserve">was originally a collection of </w:t>
      </w:r>
      <w:r w:rsidR="001B7C94" w:rsidRPr="00B7659F">
        <w:rPr>
          <w:rFonts w:ascii="Century Gothic" w:hAnsi="Century Gothic"/>
          <w:bdr w:val="none" w:sz="0" w:space="0" w:color="auto" w:frame="1"/>
        </w:rPr>
        <w:t xml:space="preserve">edifying </w:t>
      </w:r>
      <w:r w:rsidR="00163E0E" w:rsidRPr="00B7659F">
        <w:rPr>
          <w:rFonts w:ascii="Century Gothic" w:hAnsi="Century Gothic"/>
          <w:bdr w:val="none" w:sz="0" w:space="0" w:color="auto" w:frame="1"/>
        </w:rPr>
        <w:t xml:space="preserve">essays </w:t>
      </w:r>
      <w:r w:rsidR="001B7C94" w:rsidRPr="00B7659F">
        <w:rPr>
          <w:rFonts w:ascii="Century Gothic" w:hAnsi="Century Gothic"/>
          <w:bdr w:val="none" w:sz="0" w:space="0" w:color="auto" w:frame="1"/>
        </w:rPr>
        <w:t xml:space="preserve">that </w:t>
      </w:r>
      <w:r w:rsidR="00163E0E" w:rsidRPr="00B7659F">
        <w:rPr>
          <w:rFonts w:ascii="Century Gothic" w:hAnsi="Century Gothic"/>
          <w:bdr w:val="none" w:sz="0" w:space="0" w:color="auto" w:frame="1"/>
        </w:rPr>
        <w:t>he</w:t>
      </w:r>
      <w:r>
        <w:rPr>
          <w:rFonts w:ascii="Century Gothic" w:hAnsi="Century Gothic"/>
          <w:bdr w:val="none" w:sz="0" w:space="0" w:color="auto" w:frame="1"/>
        </w:rPr>
        <w:t xml:space="preserve"> had</w:t>
      </w:r>
      <w:r w:rsidR="00163E0E" w:rsidRPr="00B7659F">
        <w:rPr>
          <w:rFonts w:ascii="Century Gothic" w:hAnsi="Century Gothic"/>
          <w:bdr w:val="none" w:sz="0" w:space="0" w:color="auto" w:frame="1"/>
        </w:rPr>
        <w:t xml:space="preserve"> published</w:t>
      </w:r>
      <w:r>
        <w:rPr>
          <w:rFonts w:ascii="Century Gothic" w:hAnsi="Century Gothic"/>
          <w:bdr w:val="none" w:sz="0" w:space="0" w:color="auto" w:frame="1"/>
        </w:rPr>
        <w:t xml:space="preserve"> serially</w:t>
      </w:r>
      <w:r w:rsidR="00163E0E" w:rsidRPr="00B7659F">
        <w:rPr>
          <w:rFonts w:ascii="Century Gothic" w:hAnsi="Century Gothic"/>
          <w:bdr w:val="none" w:sz="0" w:space="0" w:color="auto" w:frame="1"/>
        </w:rPr>
        <w:t xml:space="preserve"> in </w:t>
      </w:r>
      <w:r w:rsidR="00163E0E" w:rsidRPr="00B7659F">
        <w:rPr>
          <w:rFonts w:ascii="Century Gothic" w:hAnsi="Century Gothic"/>
          <w:i/>
          <w:iCs/>
          <w:bdr w:val="none" w:sz="0" w:space="0" w:color="auto" w:frame="1"/>
        </w:rPr>
        <w:t>al-</w:t>
      </w:r>
      <w:proofErr w:type="spellStart"/>
      <w:r w:rsidR="00163E0E" w:rsidRPr="00B7659F">
        <w:rPr>
          <w:rFonts w:ascii="Century Gothic" w:hAnsi="Century Gothic"/>
          <w:i/>
          <w:iCs/>
          <w:bdr w:val="none" w:sz="0" w:space="0" w:color="auto" w:frame="1"/>
        </w:rPr>
        <w:t>Mu</w:t>
      </w:r>
      <w:r w:rsidR="00B44DE7">
        <w:rPr>
          <w:rFonts w:ascii="Century Gothic" w:hAnsi="Century Gothic"/>
          <w:i/>
          <w:iCs/>
          <w:bdr w:val="none" w:sz="0" w:space="0" w:color="auto" w:frame="1"/>
        </w:rPr>
        <w:t>’</w:t>
      </w:r>
      <w:r w:rsidR="00163E0E" w:rsidRPr="00B7659F">
        <w:rPr>
          <w:rFonts w:ascii="Century Gothic" w:hAnsi="Century Gothic"/>
          <w:i/>
          <w:iCs/>
          <w:bdr w:val="none" w:sz="0" w:space="0" w:color="auto" w:frame="1"/>
        </w:rPr>
        <w:t>ayyad</w:t>
      </w:r>
      <w:proofErr w:type="spellEnd"/>
      <w:r w:rsidR="00163E0E" w:rsidRPr="00B7659F">
        <w:rPr>
          <w:rFonts w:ascii="Century Gothic" w:hAnsi="Century Gothic"/>
          <w:bdr w:val="none" w:sz="0" w:space="0" w:color="auto" w:frame="1"/>
        </w:rPr>
        <w:t xml:space="preserve"> </w:t>
      </w:r>
      <w:r>
        <w:rPr>
          <w:rFonts w:ascii="Century Gothic" w:hAnsi="Century Gothic"/>
          <w:bdr w:val="none" w:sz="0" w:space="0" w:color="auto" w:frame="1"/>
        </w:rPr>
        <w:t>m</w:t>
      </w:r>
      <w:r w:rsidR="00163E0E" w:rsidRPr="00B7659F">
        <w:rPr>
          <w:rFonts w:ascii="Century Gothic" w:hAnsi="Century Gothic"/>
          <w:bdr w:val="none" w:sz="0" w:space="0" w:color="auto" w:frame="1"/>
        </w:rPr>
        <w:t>agazine under the same title</w:t>
      </w:r>
      <w:r w:rsidR="00043F05" w:rsidRPr="00B7659F">
        <w:rPr>
          <w:rFonts w:ascii="Century Gothic" w:hAnsi="Century Gothic"/>
          <w:bdr w:val="none" w:sz="0" w:space="0" w:color="auto" w:frame="1"/>
        </w:rPr>
        <w:t xml:space="preserve"> since 1907</w:t>
      </w:r>
      <w:r w:rsidR="00163E0E" w:rsidRPr="00B7659F">
        <w:rPr>
          <w:rFonts w:ascii="Century Gothic" w:hAnsi="Century Gothic"/>
          <w:bdr w:val="none" w:sz="0" w:space="0" w:color="auto" w:frame="1"/>
        </w:rPr>
        <w:t xml:space="preserve">. The essays cover </w:t>
      </w:r>
      <w:r w:rsidR="00043F05" w:rsidRPr="00B7659F">
        <w:rPr>
          <w:rFonts w:ascii="Century Gothic" w:hAnsi="Century Gothic"/>
          <w:bdr w:val="none" w:sz="0" w:space="0" w:color="auto" w:frame="1"/>
        </w:rPr>
        <w:t>topics like social literature, criticism, politics</w:t>
      </w:r>
      <w:r>
        <w:rPr>
          <w:rFonts w:ascii="Century Gothic" w:hAnsi="Century Gothic"/>
          <w:bdr w:val="none" w:sz="0" w:space="0" w:color="auto" w:frame="1"/>
        </w:rPr>
        <w:t>,</w:t>
      </w:r>
      <w:r w:rsidR="00043F05" w:rsidRPr="00B7659F">
        <w:rPr>
          <w:rFonts w:ascii="Century Gothic" w:hAnsi="Century Gothic"/>
          <w:bdr w:val="none" w:sz="0" w:space="0" w:color="auto" w:frame="1"/>
        </w:rPr>
        <w:t xml:space="preserve"> and Islam. </w:t>
      </w:r>
      <w:r>
        <w:rPr>
          <w:rFonts w:ascii="Century Gothic" w:hAnsi="Century Gothic"/>
          <w:i/>
          <w:iCs/>
          <w:bdr w:val="none" w:sz="0" w:space="0" w:color="auto" w:frame="1"/>
        </w:rPr>
        <w:t>A</w:t>
      </w:r>
      <w:r w:rsidRPr="00D42BD6">
        <w:rPr>
          <w:rFonts w:ascii="Century Gothic" w:hAnsi="Century Gothic"/>
          <w:i/>
          <w:iCs/>
          <w:bdr w:val="none" w:sz="0" w:space="0" w:color="auto" w:frame="1"/>
        </w:rPr>
        <w:t>l-</w:t>
      </w:r>
      <w:proofErr w:type="spellStart"/>
      <w:r w:rsidRPr="00D42BD6">
        <w:rPr>
          <w:rFonts w:ascii="Century Gothic" w:hAnsi="Century Gothic"/>
          <w:i/>
          <w:iCs/>
          <w:bdr w:val="none" w:sz="0" w:space="0" w:color="auto" w:frame="1"/>
        </w:rPr>
        <w:t>Nazarat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043F05" w:rsidRPr="00B7659F">
        <w:rPr>
          <w:rFonts w:ascii="Century Gothic" w:hAnsi="Century Gothic"/>
          <w:bdr w:val="none" w:sz="0" w:space="0" w:color="auto" w:frame="1"/>
        </w:rPr>
        <w:t xml:space="preserve">also includes a number of short stories either written by the author or </w:t>
      </w:r>
      <w:r w:rsidR="00D42BD6">
        <w:rPr>
          <w:rFonts w:ascii="Century Gothic" w:hAnsi="Century Gothic"/>
          <w:bdr w:val="none" w:sz="0" w:space="0" w:color="auto" w:frame="1"/>
        </w:rPr>
        <w:t xml:space="preserve">adapted </w:t>
      </w:r>
      <w:r w:rsidR="00043F05" w:rsidRPr="00B7659F">
        <w:rPr>
          <w:rFonts w:ascii="Century Gothic" w:hAnsi="Century Gothic"/>
          <w:bdr w:val="none" w:sz="0" w:space="0" w:color="auto" w:frame="1"/>
        </w:rPr>
        <w:t>and redrafted by him</w:t>
      </w:r>
      <w:r w:rsidR="00D42BD6">
        <w:rPr>
          <w:rFonts w:ascii="Century Gothic" w:hAnsi="Century Gothic"/>
          <w:bdr w:val="none" w:sz="0" w:space="0" w:color="auto" w:frame="1"/>
        </w:rPr>
        <w:t xml:space="preserve"> from translations of literary works in other languages</w:t>
      </w:r>
      <w:r w:rsidR="00043F05" w:rsidRPr="00B7659F">
        <w:rPr>
          <w:rFonts w:ascii="Century Gothic" w:hAnsi="Century Gothic"/>
          <w:bdr w:val="none" w:sz="0" w:space="0" w:color="auto" w:frame="1"/>
        </w:rPr>
        <w:t>.</w:t>
      </w:r>
      <w:r w:rsidR="001B7C94" w:rsidRPr="00B7659F">
        <w:rPr>
          <w:rFonts w:ascii="Century Gothic" w:eastAsia="Times New Roman" w:hAnsi="Century Gothic" w:cs="Times New Roman"/>
        </w:rPr>
        <w:t xml:space="preserve"> Tears, calamity</w:t>
      </w:r>
      <w:r>
        <w:rPr>
          <w:rFonts w:ascii="Century Gothic" w:eastAsia="Times New Roman" w:hAnsi="Century Gothic" w:cs="Times New Roman"/>
        </w:rPr>
        <w:t>,</w:t>
      </w:r>
      <w:r w:rsidR="001B7C94" w:rsidRPr="00B7659F">
        <w:rPr>
          <w:rFonts w:ascii="Century Gothic" w:eastAsia="Times New Roman" w:hAnsi="Century Gothic" w:cs="Times New Roman"/>
        </w:rPr>
        <w:t xml:space="preserve"> and death are the </w:t>
      </w:r>
      <w:r w:rsidR="00D42BD6">
        <w:rPr>
          <w:rFonts w:ascii="Century Gothic" w:eastAsia="Times New Roman" w:hAnsi="Century Gothic" w:cs="Times New Roman"/>
        </w:rPr>
        <w:t>main themes</w:t>
      </w:r>
      <w:r w:rsidR="001B7C94" w:rsidRPr="00B7659F">
        <w:rPr>
          <w:rFonts w:ascii="Century Gothic" w:eastAsia="Times New Roman" w:hAnsi="Century Gothic" w:cs="Times New Roman"/>
        </w:rPr>
        <w:t xml:space="preserve"> of these </w:t>
      </w:r>
      <w:r w:rsidR="007056FC" w:rsidRPr="00B7659F">
        <w:rPr>
          <w:rFonts w:ascii="Century Gothic" w:eastAsia="Times New Roman" w:hAnsi="Century Gothic" w:cs="Times New Roman"/>
        </w:rPr>
        <w:t>articles.</w:t>
      </w:r>
      <w:r w:rsidR="00C56996" w:rsidRPr="00B7659F">
        <w:rPr>
          <w:rFonts w:ascii="Century Gothic" w:hAnsi="Century Gothic"/>
        </w:rPr>
        <w:t xml:space="preserve"> </w:t>
      </w:r>
    </w:p>
    <w:p w:rsidR="0015190C" w:rsidRDefault="00043F05" w:rsidP="00111D6B">
      <w:pPr>
        <w:spacing w:line="360" w:lineRule="auto"/>
        <w:jc w:val="both"/>
        <w:rPr>
          <w:rFonts w:ascii="Century Gothic" w:hAnsi="Century Gothic"/>
          <w:bdr w:val="none" w:sz="0" w:space="0" w:color="auto" w:frame="1"/>
        </w:rPr>
      </w:pPr>
      <w:r w:rsidRPr="00D42BD6">
        <w:rPr>
          <w:rFonts w:ascii="Century Gothic" w:hAnsi="Century Gothic"/>
          <w:i/>
          <w:iCs/>
          <w:bdr w:val="none" w:sz="0" w:space="0" w:color="auto" w:frame="1"/>
        </w:rPr>
        <w:t>Al-`</w:t>
      </w:r>
      <w:proofErr w:type="spellStart"/>
      <w:r w:rsidRPr="00D42BD6">
        <w:rPr>
          <w:rFonts w:ascii="Century Gothic" w:hAnsi="Century Gothic"/>
          <w:i/>
          <w:iCs/>
          <w:bdr w:val="none" w:sz="0" w:space="0" w:color="auto" w:frame="1"/>
        </w:rPr>
        <w:t>Abarat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includes nine </w:t>
      </w:r>
      <w:r w:rsidR="007056FC" w:rsidRPr="00B7659F">
        <w:rPr>
          <w:rFonts w:ascii="Century Gothic" w:hAnsi="Century Gothic"/>
          <w:bdr w:val="none" w:sz="0" w:space="0" w:color="auto" w:frame="1"/>
        </w:rPr>
        <w:t xml:space="preserve">short </w:t>
      </w:r>
      <w:r w:rsidRPr="00B7659F">
        <w:rPr>
          <w:rFonts w:ascii="Century Gothic" w:hAnsi="Century Gothic"/>
          <w:bdr w:val="none" w:sz="0" w:space="0" w:color="auto" w:frame="1"/>
        </w:rPr>
        <w:t>stories of which three were written by al-</w:t>
      </w:r>
      <w:proofErr w:type="spellStart"/>
      <w:r w:rsidRPr="00B7659F">
        <w:rPr>
          <w:rFonts w:ascii="Century Gothic" w:hAnsi="Century Gothic"/>
          <w:bdr w:val="none" w:sz="0" w:space="0" w:color="auto" w:frame="1"/>
        </w:rPr>
        <w:t>Manfalouti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himself. These are 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Pr="0085191F">
        <w:rPr>
          <w:rFonts w:ascii="Century Gothic" w:hAnsi="Century Gothic"/>
          <w:iCs/>
          <w:bdr w:val="none" w:sz="0" w:space="0" w:color="auto" w:frame="1"/>
        </w:rPr>
        <w:t>al-</w:t>
      </w:r>
      <w:proofErr w:type="spellStart"/>
      <w:r w:rsidRPr="0085191F">
        <w:rPr>
          <w:rFonts w:ascii="Century Gothic" w:hAnsi="Century Gothic"/>
          <w:iCs/>
          <w:bdr w:val="none" w:sz="0" w:space="0" w:color="auto" w:frame="1"/>
        </w:rPr>
        <w:t>Yatim</w:t>
      </w:r>
      <w:proofErr w:type="spellEnd"/>
      <w:r w:rsidR="00656711">
        <w:rPr>
          <w:rFonts w:ascii="Century Gothic" w:hAnsi="Century Gothic"/>
          <w:iCs/>
          <w:bdr w:val="none" w:sz="0" w:space="0" w:color="auto" w:frame="1"/>
        </w:rPr>
        <w:t>’</w:t>
      </w:r>
      <w:r w:rsidRPr="00B7659F">
        <w:rPr>
          <w:rFonts w:ascii="Century Gothic" w:hAnsi="Century Gothic"/>
          <w:bdr w:val="none" w:sz="0" w:space="0" w:color="auto" w:frame="1"/>
        </w:rPr>
        <w:t xml:space="preserve"> (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Pr="00B7659F">
        <w:rPr>
          <w:rFonts w:ascii="Century Gothic" w:hAnsi="Century Gothic"/>
          <w:bdr w:val="none" w:sz="0" w:space="0" w:color="auto" w:frame="1"/>
        </w:rPr>
        <w:t>The Orphan</w:t>
      </w:r>
      <w:r w:rsidR="00656711">
        <w:rPr>
          <w:rFonts w:ascii="Century Gothic" w:hAnsi="Century Gothic"/>
          <w:bdr w:val="none" w:sz="0" w:space="0" w:color="auto" w:frame="1"/>
        </w:rPr>
        <w:t>’</w:t>
      </w:r>
      <w:r w:rsidRPr="00B7659F">
        <w:rPr>
          <w:rFonts w:ascii="Century Gothic" w:hAnsi="Century Gothic"/>
          <w:bdr w:val="none" w:sz="0" w:space="0" w:color="auto" w:frame="1"/>
        </w:rPr>
        <w:t xml:space="preserve">), 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Pr="00B7659F">
        <w:rPr>
          <w:rFonts w:ascii="Century Gothic" w:hAnsi="Century Gothic"/>
          <w:bdr w:val="none" w:sz="0" w:space="0" w:color="auto" w:frame="1"/>
        </w:rPr>
        <w:t>al-Hijab</w:t>
      </w:r>
      <w:r w:rsidR="00656711">
        <w:rPr>
          <w:rFonts w:ascii="Century Gothic" w:hAnsi="Century Gothic"/>
          <w:bdr w:val="none" w:sz="0" w:space="0" w:color="auto" w:frame="1"/>
        </w:rPr>
        <w:t>’</w:t>
      </w:r>
      <w:r w:rsidRPr="00B7659F">
        <w:rPr>
          <w:rFonts w:ascii="Century Gothic" w:hAnsi="Century Gothic"/>
          <w:bdr w:val="none" w:sz="0" w:space="0" w:color="auto" w:frame="1"/>
        </w:rPr>
        <w:t xml:space="preserve"> (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Pr="00B7659F">
        <w:rPr>
          <w:rFonts w:ascii="Century Gothic" w:hAnsi="Century Gothic"/>
          <w:bdr w:val="none" w:sz="0" w:space="0" w:color="auto" w:frame="1"/>
        </w:rPr>
        <w:t>Hijab</w:t>
      </w:r>
      <w:r w:rsidR="00656711">
        <w:rPr>
          <w:rFonts w:ascii="Century Gothic" w:hAnsi="Century Gothic"/>
          <w:bdr w:val="none" w:sz="0" w:space="0" w:color="auto" w:frame="1"/>
        </w:rPr>
        <w:t>’</w:t>
      </w:r>
      <w:r w:rsidRPr="00B7659F">
        <w:rPr>
          <w:rFonts w:ascii="Century Gothic" w:hAnsi="Century Gothic"/>
          <w:bdr w:val="none" w:sz="0" w:space="0" w:color="auto" w:frame="1"/>
        </w:rPr>
        <w:t xml:space="preserve">) and 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Pr="0085191F">
        <w:rPr>
          <w:rFonts w:ascii="Century Gothic" w:hAnsi="Century Gothic"/>
          <w:iCs/>
          <w:bdr w:val="none" w:sz="0" w:space="0" w:color="auto" w:frame="1"/>
        </w:rPr>
        <w:t>al-</w:t>
      </w:r>
      <w:proofErr w:type="spellStart"/>
      <w:r w:rsidRPr="0085191F">
        <w:rPr>
          <w:rFonts w:ascii="Century Gothic" w:hAnsi="Century Gothic"/>
          <w:iCs/>
          <w:bdr w:val="none" w:sz="0" w:space="0" w:color="auto" w:frame="1"/>
        </w:rPr>
        <w:t>Hawiyah</w:t>
      </w:r>
      <w:proofErr w:type="spellEnd"/>
      <w:r w:rsidR="00656711">
        <w:rPr>
          <w:rFonts w:ascii="Century Gothic" w:hAnsi="Century Gothic"/>
          <w:bdr w:val="none" w:sz="0" w:space="0" w:color="auto" w:frame="1"/>
        </w:rPr>
        <w:t>’</w:t>
      </w:r>
      <w:r w:rsidRPr="00B7659F">
        <w:rPr>
          <w:rFonts w:ascii="Century Gothic" w:hAnsi="Century Gothic"/>
          <w:bdr w:val="none" w:sz="0" w:space="0" w:color="auto" w:frame="1"/>
        </w:rPr>
        <w:t xml:space="preserve"> (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Pr="00B7659F">
        <w:rPr>
          <w:rFonts w:ascii="Century Gothic" w:hAnsi="Century Gothic"/>
          <w:bdr w:val="none" w:sz="0" w:space="0" w:color="auto" w:frame="1"/>
        </w:rPr>
        <w:t>The Abyss</w:t>
      </w:r>
      <w:r w:rsidR="00656711">
        <w:rPr>
          <w:rFonts w:ascii="Century Gothic" w:hAnsi="Century Gothic"/>
          <w:bdr w:val="none" w:sz="0" w:space="0" w:color="auto" w:frame="1"/>
        </w:rPr>
        <w:t>’</w:t>
      </w:r>
      <w:r w:rsidRPr="00B7659F">
        <w:rPr>
          <w:rFonts w:ascii="Century Gothic" w:hAnsi="Century Gothic"/>
          <w:bdr w:val="none" w:sz="0" w:space="0" w:color="auto" w:frame="1"/>
        </w:rPr>
        <w:t>).  The fourth story</w:t>
      </w:r>
      <w:r w:rsidR="00656711">
        <w:rPr>
          <w:rFonts w:ascii="Century Gothic" w:hAnsi="Century Gothic"/>
          <w:bdr w:val="none" w:sz="0" w:space="0" w:color="auto" w:frame="1"/>
        </w:rPr>
        <w:t>,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85191F">
        <w:rPr>
          <w:rFonts w:ascii="Century Gothic" w:hAnsi="Century Gothic"/>
          <w:iCs/>
          <w:bdr w:val="none" w:sz="0" w:space="0" w:color="auto" w:frame="1"/>
        </w:rPr>
        <w:t>al-`</w:t>
      </w:r>
      <w:proofErr w:type="spellStart"/>
      <w:r w:rsidR="007056FC" w:rsidRPr="0085191F">
        <w:rPr>
          <w:rFonts w:ascii="Century Gothic" w:hAnsi="Century Gothic"/>
          <w:iCs/>
          <w:bdr w:val="none" w:sz="0" w:space="0" w:color="auto" w:frame="1"/>
        </w:rPr>
        <w:t>I</w:t>
      </w:r>
      <w:r w:rsidR="001E3673" w:rsidRPr="0085191F">
        <w:rPr>
          <w:rFonts w:ascii="Century Gothic" w:hAnsi="Century Gothic"/>
          <w:iCs/>
          <w:bdr w:val="none" w:sz="0" w:space="0" w:color="auto" w:frame="1"/>
        </w:rPr>
        <w:t>qab</w:t>
      </w:r>
      <w:proofErr w:type="spellEnd"/>
      <w:r w:rsidR="00656711">
        <w:rPr>
          <w:rFonts w:ascii="Century Gothic" w:hAnsi="Century Gothic"/>
          <w:bdr w:val="none" w:sz="0" w:space="0" w:color="auto" w:frame="1"/>
        </w:rPr>
        <w:t>’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 (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B7659F">
        <w:rPr>
          <w:rFonts w:ascii="Century Gothic" w:hAnsi="Century Gothic"/>
          <w:bdr w:val="none" w:sz="0" w:space="0" w:color="auto" w:frame="1"/>
        </w:rPr>
        <w:t>The Punishment</w:t>
      </w:r>
      <w:r w:rsidR="00656711">
        <w:rPr>
          <w:rFonts w:ascii="Century Gothic" w:hAnsi="Century Gothic"/>
          <w:bdr w:val="none" w:sz="0" w:space="0" w:color="auto" w:frame="1"/>
        </w:rPr>
        <w:t>’</w:t>
      </w:r>
      <w:r w:rsidR="001E3673" w:rsidRPr="00B7659F">
        <w:rPr>
          <w:rFonts w:ascii="Century Gothic" w:hAnsi="Century Gothic"/>
          <w:bdr w:val="none" w:sz="0" w:space="0" w:color="auto" w:frame="1"/>
        </w:rPr>
        <w:t>)</w:t>
      </w:r>
      <w:r w:rsidRPr="00B7659F">
        <w:rPr>
          <w:rFonts w:ascii="Century Gothic" w:hAnsi="Century Gothic"/>
          <w:bdr w:val="none" w:sz="0" w:space="0" w:color="auto" w:frame="1"/>
        </w:rPr>
        <w:t xml:space="preserve"> is derived from an American </w:t>
      </w:r>
      <w:r w:rsidR="00656711">
        <w:rPr>
          <w:rFonts w:ascii="Century Gothic" w:hAnsi="Century Gothic"/>
          <w:bdr w:val="none" w:sz="0" w:space="0" w:color="auto" w:frame="1"/>
        </w:rPr>
        <w:t>story,</w:t>
      </w:r>
      <w:r w:rsidR="00656711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and the remaining </w:t>
      </w:r>
      <w:r w:rsidR="00656711">
        <w:rPr>
          <w:rFonts w:ascii="Century Gothic" w:hAnsi="Century Gothic"/>
          <w:bdr w:val="none" w:sz="0" w:space="0" w:color="auto" w:frame="1"/>
        </w:rPr>
        <w:t>five</w:t>
      </w:r>
      <w:r w:rsidR="00656711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were </w:t>
      </w:r>
      <w:r w:rsidR="00D42BD6">
        <w:rPr>
          <w:rFonts w:ascii="Century Gothic" w:hAnsi="Century Gothic"/>
          <w:bdr w:val="none" w:sz="0" w:space="0" w:color="auto" w:frame="1"/>
        </w:rPr>
        <w:t>adapted and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 redrafted by al-</w:t>
      </w:r>
      <w:proofErr w:type="spellStart"/>
      <w:r w:rsidR="001E3673" w:rsidRPr="00B7659F">
        <w:rPr>
          <w:rFonts w:ascii="Century Gothic" w:hAnsi="Century Gothic"/>
          <w:bdr w:val="none" w:sz="0" w:space="0" w:color="auto" w:frame="1"/>
        </w:rPr>
        <w:t>Manfalouiti</w:t>
      </w:r>
      <w:proofErr w:type="spellEnd"/>
      <w:r w:rsidR="00D42BD6">
        <w:rPr>
          <w:rFonts w:ascii="Century Gothic" w:hAnsi="Century Gothic"/>
          <w:bdr w:val="none" w:sz="0" w:space="0" w:color="auto" w:frame="1"/>
        </w:rPr>
        <w:t xml:space="preserve"> from French fictions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. These are: 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85191F">
        <w:rPr>
          <w:rFonts w:ascii="Century Gothic" w:hAnsi="Century Gothic"/>
          <w:iCs/>
          <w:bdr w:val="none" w:sz="0" w:space="0" w:color="auto" w:frame="1"/>
        </w:rPr>
        <w:t>al-</w:t>
      </w:r>
      <w:proofErr w:type="spellStart"/>
      <w:r w:rsidR="001E3673" w:rsidRPr="0085191F">
        <w:rPr>
          <w:rFonts w:ascii="Century Gothic" w:hAnsi="Century Gothic"/>
          <w:iCs/>
          <w:bdr w:val="none" w:sz="0" w:space="0" w:color="auto" w:frame="1"/>
        </w:rPr>
        <w:t>Jaza</w:t>
      </w:r>
      <w:proofErr w:type="spellEnd"/>
      <w:r w:rsidR="001E3673" w:rsidRPr="0085191F">
        <w:rPr>
          <w:rFonts w:ascii="Century Gothic" w:hAnsi="Century Gothic"/>
          <w:iCs/>
          <w:bdr w:val="none" w:sz="0" w:space="0" w:color="auto" w:frame="1"/>
        </w:rPr>
        <w:t>’</w:t>
      </w:r>
      <w:r w:rsidR="001E3673" w:rsidRPr="00D42BD6">
        <w:rPr>
          <w:rFonts w:ascii="Century Gothic" w:hAnsi="Century Gothic"/>
          <w:i/>
          <w:iCs/>
          <w:bdr w:val="none" w:sz="0" w:space="0" w:color="auto" w:frame="1"/>
        </w:rPr>
        <w:t xml:space="preserve"> </w:t>
      </w:r>
      <w:r w:rsidR="001E3673" w:rsidRPr="00B7659F">
        <w:rPr>
          <w:rFonts w:ascii="Century Gothic" w:hAnsi="Century Gothic"/>
          <w:bdr w:val="none" w:sz="0" w:space="0" w:color="auto" w:frame="1"/>
        </w:rPr>
        <w:t>(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B7659F">
        <w:rPr>
          <w:rFonts w:ascii="Century Gothic" w:hAnsi="Century Gothic"/>
          <w:bdr w:val="none" w:sz="0" w:space="0" w:color="auto" w:frame="1"/>
        </w:rPr>
        <w:t>The Recompense</w:t>
      </w:r>
      <w:r w:rsidR="00656711">
        <w:rPr>
          <w:rFonts w:ascii="Century Gothic" w:hAnsi="Century Gothic"/>
          <w:bdr w:val="none" w:sz="0" w:space="0" w:color="auto" w:frame="1"/>
        </w:rPr>
        <w:t>’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), 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B7659F">
        <w:rPr>
          <w:rFonts w:ascii="Century Gothic" w:hAnsi="Century Gothic"/>
          <w:bdr w:val="none" w:sz="0" w:space="0" w:color="auto" w:frame="1"/>
        </w:rPr>
        <w:t>al-</w:t>
      </w:r>
      <w:proofErr w:type="spellStart"/>
      <w:r w:rsidR="001E3673" w:rsidRPr="0085191F">
        <w:rPr>
          <w:rFonts w:ascii="Century Gothic" w:hAnsi="Century Gothic"/>
          <w:iCs/>
          <w:bdr w:val="none" w:sz="0" w:space="0" w:color="auto" w:frame="1"/>
        </w:rPr>
        <w:t>Intiqam</w:t>
      </w:r>
      <w:proofErr w:type="spellEnd"/>
      <w:r w:rsidR="00656711" w:rsidRPr="0085191F">
        <w:rPr>
          <w:rFonts w:ascii="Century Gothic" w:hAnsi="Century Gothic"/>
          <w:iCs/>
          <w:bdr w:val="none" w:sz="0" w:space="0" w:color="auto" w:frame="1"/>
        </w:rPr>
        <w:t>’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 (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B7659F">
        <w:rPr>
          <w:rFonts w:ascii="Century Gothic" w:hAnsi="Century Gothic"/>
          <w:bdr w:val="none" w:sz="0" w:space="0" w:color="auto" w:frame="1"/>
        </w:rPr>
        <w:t>Revenge</w:t>
      </w:r>
      <w:r w:rsidR="00656711">
        <w:rPr>
          <w:rFonts w:ascii="Century Gothic" w:hAnsi="Century Gothic"/>
          <w:bdr w:val="none" w:sz="0" w:space="0" w:color="auto" w:frame="1"/>
        </w:rPr>
        <w:t>’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), 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85191F">
        <w:rPr>
          <w:rFonts w:ascii="Century Gothic" w:hAnsi="Century Gothic"/>
          <w:iCs/>
          <w:bdr w:val="none" w:sz="0" w:space="0" w:color="auto" w:frame="1"/>
        </w:rPr>
        <w:t>al-</w:t>
      </w:r>
      <w:proofErr w:type="spellStart"/>
      <w:r w:rsidR="001E3673" w:rsidRPr="0085191F">
        <w:rPr>
          <w:rFonts w:ascii="Century Gothic" w:hAnsi="Century Gothic"/>
          <w:iCs/>
          <w:bdr w:val="none" w:sz="0" w:space="0" w:color="auto" w:frame="1"/>
        </w:rPr>
        <w:t>Shuhada</w:t>
      </w:r>
      <w:proofErr w:type="spellEnd"/>
      <w:r w:rsidR="001E3673" w:rsidRPr="00D42BD6">
        <w:rPr>
          <w:rFonts w:ascii="Century Gothic" w:hAnsi="Century Gothic"/>
          <w:i/>
          <w:iCs/>
          <w:bdr w:val="none" w:sz="0" w:space="0" w:color="auto" w:frame="1"/>
        </w:rPr>
        <w:t xml:space="preserve">’ </w:t>
      </w:r>
      <w:r w:rsidR="001E3673" w:rsidRPr="00B7659F">
        <w:rPr>
          <w:rFonts w:ascii="Century Gothic" w:hAnsi="Century Gothic"/>
          <w:bdr w:val="none" w:sz="0" w:space="0" w:color="auto" w:frame="1"/>
        </w:rPr>
        <w:t>(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B7659F">
        <w:rPr>
          <w:rFonts w:ascii="Century Gothic" w:hAnsi="Century Gothic"/>
          <w:bdr w:val="none" w:sz="0" w:space="0" w:color="auto" w:frame="1"/>
        </w:rPr>
        <w:t>The Martyrs</w:t>
      </w:r>
      <w:r w:rsidR="00656711">
        <w:rPr>
          <w:rFonts w:ascii="Century Gothic" w:hAnsi="Century Gothic"/>
          <w:bdr w:val="none" w:sz="0" w:space="0" w:color="auto" w:frame="1"/>
        </w:rPr>
        <w:t>’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), 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85191F">
        <w:rPr>
          <w:rFonts w:ascii="Century Gothic" w:hAnsi="Century Gothic"/>
          <w:iCs/>
          <w:bdr w:val="none" w:sz="0" w:space="0" w:color="auto" w:frame="1"/>
        </w:rPr>
        <w:t>al-</w:t>
      </w:r>
      <w:proofErr w:type="spellStart"/>
      <w:r w:rsidR="001E3673" w:rsidRPr="0085191F">
        <w:rPr>
          <w:rFonts w:ascii="Century Gothic" w:hAnsi="Century Gothic"/>
          <w:iCs/>
          <w:bdr w:val="none" w:sz="0" w:space="0" w:color="auto" w:frame="1"/>
        </w:rPr>
        <w:t>Zikra</w:t>
      </w:r>
      <w:proofErr w:type="spellEnd"/>
      <w:r w:rsidR="00656711">
        <w:rPr>
          <w:rFonts w:ascii="Century Gothic" w:hAnsi="Century Gothic"/>
          <w:i/>
          <w:iCs/>
          <w:bdr w:val="none" w:sz="0" w:space="0" w:color="auto" w:frame="1"/>
        </w:rPr>
        <w:t>’</w:t>
      </w:r>
      <w:r w:rsidR="001E3673" w:rsidRPr="00D42BD6">
        <w:rPr>
          <w:rFonts w:ascii="Century Gothic" w:hAnsi="Century Gothic"/>
          <w:i/>
          <w:iCs/>
          <w:bdr w:val="none" w:sz="0" w:space="0" w:color="auto" w:frame="1"/>
        </w:rPr>
        <w:t xml:space="preserve"> </w:t>
      </w:r>
      <w:r w:rsidR="001E3673" w:rsidRPr="00B7659F">
        <w:rPr>
          <w:rFonts w:ascii="Century Gothic" w:hAnsi="Century Gothic"/>
          <w:bdr w:val="none" w:sz="0" w:space="0" w:color="auto" w:frame="1"/>
        </w:rPr>
        <w:t>(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B7659F">
        <w:rPr>
          <w:rFonts w:ascii="Century Gothic" w:hAnsi="Century Gothic"/>
          <w:bdr w:val="none" w:sz="0" w:space="0" w:color="auto" w:frame="1"/>
        </w:rPr>
        <w:t>Memories</w:t>
      </w:r>
      <w:r w:rsidR="00656711">
        <w:rPr>
          <w:rFonts w:ascii="Century Gothic" w:hAnsi="Century Gothic"/>
          <w:bdr w:val="none" w:sz="0" w:space="0" w:color="auto" w:frame="1"/>
        </w:rPr>
        <w:t>’</w:t>
      </w:r>
      <w:r w:rsidR="001E3673" w:rsidRPr="00B7659F">
        <w:rPr>
          <w:rFonts w:ascii="Century Gothic" w:hAnsi="Century Gothic"/>
          <w:bdr w:val="none" w:sz="0" w:space="0" w:color="auto" w:frame="1"/>
        </w:rPr>
        <w:t xml:space="preserve">) and 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B7659F">
        <w:rPr>
          <w:rFonts w:ascii="Century Gothic" w:hAnsi="Century Gothic"/>
          <w:bdr w:val="none" w:sz="0" w:space="0" w:color="auto" w:frame="1"/>
        </w:rPr>
        <w:t>a</w:t>
      </w:r>
      <w:r w:rsidR="001E3673" w:rsidRPr="00656711">
        <w:rPr>
          <w:rFonts w:ascii="Century Gothic" w:hAnsi="Century Gothic"/>
          <w:bdr w:val="none" w:sz="0" w:space="0" w:color="auto" w:frame="1"/>
        </w:rPr>
        <w:t>l-</w:t>
      </w:r>
      <w:proofErr w:type="spellStart"/>
      <w:r w:rsidR="001E3673" w:rsidRPr="0085191F">
        <w:rPr>
          <w:rFonts w:ascii="Century Gothic" w:hAnsi="Century Gothic"/>
          <w:iCs/>
          <w:bdr w:val="none" w:sz="0" w:space="0" w:color="auto" w:frame="1"/>
        </w:rPr>
        <w:t>Dahiyyah</w:t>
      </w:r>
      <w:proofErr w:type="spellEnd"/>
      <w:r w:rsidR="00656711">
        <w:rPr>
          <w:rFonts w:ascii="Century Gothic" w:hAnsi="Century Gothic"/>
          <w:iCs/>
          <w:bdr w:val="none" w:sz="0" w:space="0" w:color="auto" w:frame="1"/>
        </w:rPr>
        <w:t>’</w:t>
      </w:r>
      <w:r w:rsidR="001E3673" w:rsidRPr="00D42BD6">
        <w:rPr>
          <w:rFonts w:ascii="Century Gothic" w:hAnsi="Century Gothic"/>
          <w:i/>
          <w:iCs/>
          <w:bdr w:val="none" w:sz="0" w:space="0" w:color="auto" w:frame="1"/>
        </w:rPr>
        <w:t xml:space="preserve"> </w:t>
      </w:r>
      <w:r w:rsidR="001E3673" w:rsidRPr="00B7659F">
        <w:rPr>
          <w:rFonts w:ascii="Century Gothic" w:hAnsi="Century Gothic"/>
          <w:bdr w:val="none" w:sz="0" w:space="0" w:color="auto" w:frame="1"/>
        </w:rPr>
        <w:t>(</w:t>
      </w:r>
      <w:r w:rsidR="00656711">
        <w:rPr>
          <w:rFonts w:ascii="Century Gothic" w:hAnsi="Century Gothic"/>
          <w:bdr w:val="none" w:sz="0" w:space="0" w:color="auto" w:frame="1"/>
        </w:rPr>
        <w:t>‘</w:t>
      </w:r>
      <w:r w:rsidR="001E3673" w:rsidRPr="00B7659F">
        <w:rPr>
          <w:rFonts w:ascii="Century Gothic" w:hAnsi="Century Gothic"/>
          <w:bdr w:val="none" w:sz="0" w:space="0" w:color="auto" w:frame="1"/>
        </w:rPr>
        <w:t>The Victim</w:t>
      </w:r>
      <w:r w:rsidR="00656711">
        <w:rPr>
          <w:rFonts w:ascii="Century Gothic" w:hAnsi="Century Gothic"/>
          <w:bdr w:val="none" w:sz="0" w:space="0" w:color="auto" w:frame="1"/>
        </w:rPr>
        <w:t>’</w:t>
      </w:r>
      <w:r w:rsidR="001E3673" w:rsidRPr="00B7659F">
        <w:rPr>
          <w:rFonts w:ascii="Century Gothic" w:hAnsi="Century Gothic"/>
          <w:bdr w:val="none" w:sz="0" w:space="0" w:color="auto" w:frame="1"/>
        </w:rPr>
        <w:t>).</w:t>
      </w:r>
    </w:p>
    <w:p w:rsidR="00111D6B" w:rsidRDefault="001E3673" w:rsidP="00B44DE7">
      <w:pPr>
        <w:spacing w:line="360" w:lineRule="auto"/>
        <w:jc w:val="both"/>
        <w:rPr>
          <w:rFonts w:ascii="Century Gothic" w:hAnsi="Century Gothic"/>
          <w:bdr w:val="none" w:sz="0" w:space="0" w:color="auto" w:frame="1"/>
        </w:rPr>
      </w:pPr>
      <w:r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111D6B">
        <w:rPr>
          <w:rFonts w:ascii="Century Gothic" w:hAnsi="Century Gothic"/>
          <w:bdr w:val="none" w:sz="0" w:space="0" w:color="auto" w:frame="1"/>
        </w:rPr>
        <w:t>A</w:t>
      </w:r>
      <w:r w:rsidR="00656711">
        <w:rPr>
          <w:rFonts w:ascii="Century Gothic" w:hAnsi="Century Gothic"/>
          <w:bdr w:val="none" w:sz="0" w:space="0" w:color="auto" w:frame="1"/>
        </w:rPr>
        <w:t>l</w:t>
      </w:r>
      <w:r w:rsidRPr="00B7659F">
        <w:rPr>
          <w:rFonts w:ascii="Century Gothic" w:hAnsi="Century Gothic"/>
          <w:bdr w:val="none" w:sz="0" w:space="0" w:color="auto" w:frame="1"/>
        </w:rPr>
        <w:t>-</w:t>
      </w:r>
      <w:proofErr w:type="spellStart"/>
      <w:r w:rsidRPr="00B7659F">
        <w:rPr>
          <w:rFonts w:ascii="Century Gothic" w:hAnsi="Century Gothic"/>
          <w:bdr w:val="none" w:sz="0" w:space="0" w:color="auto" w:frame="1"/>
        </w:rPr>
        <w:t>Manfalouti’s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fiction </w:t>
      </w:r>
      <w:r w:rsidR="00D42BD6" w:rsidRPr="00D42BD6">
        <w:rPr>
          <w:rFonts w:ascii="Century Gothic" w:hAnsi="Century Gothic"/>
          <w:i/>
          <w:iCs/>
          <w:bdr w:val="none" w:sz="0" w:space="0" w:color="auto" w:frame="1"/>
        </w:rPr>
        <w:t>F</w:t>
      </w:r>
      <w:r w:rsidRPr="00D42BD6">
        <w:rPr>
          <w:rFonts w:ascii="Century Gothic" w:hAnsi="Century Gothic"/>
          <w:i/>
          <w:iCs/>
          <w:bdr w:val="none" w:sz="0" w:space="0" w:color="auto" w:frame="1"/>
        </w:rPr>
        <w:t xml:space="preserve">i </w:t>
      </w:r>
      <w:proofErr w:type="spellStart"/>
      <w:r w:rsidRPr="00D42BD6">
        <w:rPr>
          <w:rFonts w:ascii="Century Gothic" w:hAnsi="Century Gothic"/>
          <w:i/>
          <w:iCs/>
          <w:bdr w:val="none" w:sz="0" w:space="0" w:color="auto" w:frame="1"/>
        </w:rPr>
        <w:t>Sabil</w:t>
      </w:r>
      <w:proofErr w:type="spellEnd"/>
      <w:r w:rsidRPr="00D42BD6">
        <w:rPr>
          <w:rFonts w:ascii="Century Gothic" w:hAnsi="Century Gothic"/>
          <w:i/>
          <w:iCs/>
          <w:bdr w:val="none" w:sz="0" w:space="0" w:color="auto" w:frame="1"/>
        </w:rPr>
        <w:t xml:space="preserve"> al-Taj</w:t>
      </w:r>
      <w:r w:rsidRPr="00B7659F">
        <w:rPr>
          <w:rFonts w:ascii="Century Gothic" w:hAnsi="Century Gothic"/>
          <w:bdr w:val="none" w:sz="0" w:space="0" w:color="auto" w:frame="1"/>
        </w:rPr>
        <w:t xml:space="preserve"> (</w:t>
      </w:r>
      <w:r w:rsidR="00656711" w:rsidRPr="0085191F">
        <w:rPr>
          <w:rFonts w:ascii="Century Gothic" w:hAnsi="Century Gothic"/>
          <w:i/>
          <w:bdr w:val="none" w:sz="0" w:space="0" w:color="auto" w:frame="1"/>
        </w:rPr>
        <w:t>F</w:t>
      </w:r>
      <w:r w:rsidRPr="0085191F">
        <w:rPr>
          <w:rFonts w:ascii="Century Gothic" w:hAnsi="Century Gothic"/>
          <w:i/>
          <w:bdr w:val="none" w:sz="0" w:space="0" w:color="auto" w:frame="1"/>
        </w:rPr>
        <w:t>or the Sake of the Crown</w:t>
      </w:r>
      <w:r w:rsidRPr="00B7659F">
        <w:rPr>
          <w:rFonts w:ascii="Century Gothic" w:hAnsi="Century Gothic"/>
          <w:bdr w:val="none" w:sz="0" w:space="0" w:color="auto" w:frame="1"/>
        </w:rPr>
        <w:t>)</w:t>
      </w:r>
      <w:r w:rsidR="00D42BD6">
        <w:rPr>
          <w:rFonts w:ascii="Century Gothic" w:hAnsi="Century Gothic"/>
          <w:bdr w:val="none" w:sz="0" w:space="0" w:color="auto" w:frame="1"/>
        </w:rPr>
        <w:t xml:space="preserve">, </w:t>
      </w:r>
      <w:r w:rsidRPr="00B7659F">
        <w:rPr>
          <w:rFonts w:ascii="Century Gothic" w:hAnsi="Century Gothic"/>
          <w:bdr w:val="none" w:sz="0" w:space="0" w:color="auto" w:frame="1"/>
        </w:rPr>
        <w:t xml:space="preserve">which he </w:t>
      </w:r>
      <w:r w:rsidR="00D42BD6">
        <w:rPr>
          <w:rFonts w:ascii="Century Gothic" w:hAnsi="Century Gothic"/>
          <w:bdr w:val="none" w:sz="0" w:space="0" w:color="auto" w:frame="1"/>
        </w:rPr>
        <w:t xml:space="preserve">adapted and redrafted </w:t>
      </w:r>
      <w:r w:rsidR="00D42BD6" w:rsidRPr="00B7659F">
        <w:rPr>
          <w:rFonts w:ascii="Century Gothic" w:hAnsi="Century Gothic"/>
          <w:bdr w:val="none" w:sz="0" w:space="0" w:color="auto" w:frame="1"/>
        </w:rPr>
        <w:t>from</w:t>
      </w:r>
      <w:r w:rsidRPr="00B7659F">
        <w:rPr>
          <w:rFonts w:ascii="Century Gothic" w:hAnsi="Century Gothic"/>
          <w:bdr w:val="none" w:sz="0" w:space="0" w:color="auto" w:frame="1"/>
        </w:rPr>
        <w:t xml:space="preserve"> French</w:t>
      </w:r>
      <w:r w:rsidR="00D42BD6">
        <w:rPr>
          <w:rFonts w:ascii="Century Gothic" w:hAnsi="Century Gothic"/>
          <w:bdr w:val="none" w:sz="0" w:space="0" w:color="auto" w:frame="1"/>
        </w:rPr>
        <w:t>,</w:t>
      </w:r>
      <w:r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111D6B">
        <w:rPr>
          <w:rFonts w:ascii="Century Gothic" w:hAnsi="Century Gothic"/>
          <w:bdr w:val="none" w:sz="0" w:space="0" w:color="auto" w:frame="1"/>
        </w:rPr>
        <w:t>was published in 1916</w:t>
      </w:r>
      <w:r w:rsidRPr="00B7659F">
        <w:rPr>
          <w:rFonts w:ascii="Century Gothic" w:hAnsi="Century Gothic"/>
          <w:bdr w:val="none" w:sz="0" w:space="0" w:color="auto" w:frame="1"/>
        </w:rPr>
        <w:t>.</w:t>
      </w:r>
      <w:r w:rsidR="00FD3FAE" w:rsidRPr="00B7659F">
        <w:rPr>
          <w:rFonts w:ascii="Century Gothic" w:hAnsi="Century Gothic"/>
          <w:bdr w:val="none" w:sz="0" w:space="0" w:color="auto" w:frame="1"/>
        </w:rPr>
        <w:t xml:space="preserve"> Al-</w:t>
      </w:r>
      <w:proofErr w:type="spellStart"/>
      <w:r w:rsidR="00FD3FAE" w:rsidRPr="00B7659F">
        <w:rPr>
          <w:rFonts w:ascii="Century Gothic" w:hAnsi="Century Gothic"/>
          <w:bdr w:val="none" w:sz="0" w:space="0" w:color="auto" w:frame="1"/>
        </w:rPr>
        <w:t>Manfalouti</w:t>
      </w:r>
      <w:proofErr w:type="spellEnd"/>
      <w:r w:rsidR="00FD3FAE" w:rsidRPr="00B7659F">
        <w:rPr>
          <w:rFonts w:ascii="Century Gothic" w:hAnsi="Century Gothic"/>
          <w:bdr w:val="none" w:sz="0" w:space="0" w:color="auto" w:frame="1"/>
        </w:rPr>
        <w:t xml:space="preserve"> also </w:t>
      </w:r>
      <w:r w:rsidR="00FD3FAE" w:rsidRPr="00B7659F">
        <w:rPr>
          <w:rFonts w:ascii="Century Gothic" w:hAnsi="Century Gothic"/>
          <w:bdr w:val="none" w:sz="0" w:space="0" w:color="auto" w:frame="1"/>
        </w:rPr>
        <w:lastRenderedPageBreak/>
        <w:t>publishe</w:t>
      </w:r>
      <w:r w:rsidR="003E6CFF">
        <w:rPr>
          <w:rFonts w:ascii="Century Gothic" w:hAnsi="Century Gothic"/>
          <w:bdr w:val="none" w:sz="0" w:space="0" w:color="auto" w:frame="1"/>
        </w:rPr>
        <w:t xml:space="preserve">d the following </w:t>
      </w:r>
      <w:r w:rsidR="00974281">
        <w:rPr>
          <w:rFonts w:ascii="Century Gothic" w:hAnsi="Century Gothic"/>
          <w:bdr w:val="none" w:sz="0" w:space="0" w:color="auto" w:frame="1"/>
        </w:rPr>
        <w:t xml:space="preserve">translated </w:t>
      </w:r>
      <w:r w:rsidR="003E6CFF">
        <w:rPr>
          <w:rFonts w:ascii="Century Gothic" w:hAnsi="Century Gothic"/>
          <w:bdr w:val="none" w:sz="0" w:space="0" w:color="auto" w:frame="1"/>
        </w:rPr>
        <w:t xml:space="preserve">works: </w:t>
      </w:r>
      <w:proofErr w:type="spellStart"/>
      <w:r w:rsidR="003E6CFF">
        <w:rPr>
          <w:rFonts w:ascii="Century Gothic" w:hAnsi="Century Gothic"/>
          <w:bdr w:val="none" w:sz="0" w:space="0" w:color="auto" w:frame="1"/>
        </w:rPr>
        <w:t>Majdolin</w:t>
      </w:r>
      <w:proofErr w:type="spellEnd"/>
      <w:r w:rsidR="003E6CFF" w:rsidRPr="0085191F">
        <w:rPr>
          <w:rFonts w:ascii="Century Gothic" w:hAnsi="Century Gothic"/>
          <w:i/>
          <w:bdr w:val="none" w:sz="0" w:space="0" w:color="auto" w:frame="1"/>
        </w:rPr>
        <w:t xml:space="preserve"> </w:t>
      </w:r>
      <w:r w:rsidR="003E6CFF">
        <w:rPr>
          <w:rFonts w:ascii="Century Gothic" w:hAnsi="Century Gothic"/>
          <w:i/>
          <w:bdr w:val="none" w:sz="0" w:space="0" w:color="auto" w:frame="1"/>
        </w:rPr>
        <w:t>(</w:t>
      </w:r>
      <w:r w:rsidR="003E6CFF" w:rsidRPr="003E6CFF">
        <w:rPr>
          <w:rFonts w:ascii="Century Gothic" w:hAnsi="Century Gothic"/>
          <w:iCs/>
          <w:bdr w:val="none" w:sz="0" w:space="0" w:color="auto" w:frame="1"/>
        </w:rPr>
        <w:t>this is the n</w:t>
      </w:r>
      <w:r w:rsidR="00FD3FAE" w:rsidRPr="003E6CFF">
        <w:rPr>
          <w:rFonts w:ascii="Century Gothic" w:hAnsi="Century Gothic"/>
          <w:iCs/>
          <w:bdr w:val="none" w:sz="0" w:space="0" w:color="auto" w:frame="1"/>
        </w:rPr>
        <w:t>ame</w:t>
      </w:r>
      <w:r w:rsidR="003E6CFF">
        <w:rPr>
          <w:rFonts w:ascii="Century Gothic" w:hAnsi="Century Gothic" w:hint="cs"/>
          <w:i/>
          <w:bdr w:val="none" w:sz="0" w:space="0" w:color="auto" w:frame="1"/>
          <w:rtl/>
        </w:rPr>
        <w:t xml:space="preserve"> </w:t>
      </w:r>
      <w:r w:rsidR="003E6CFF">
        <w:rPr>
          <w:rFonts w:ascii="Century Gothic" w:hAnsi="Century Gothic"/>
          <w:bdr w:val="none" w:sz="0" w:space="0" w:color="auto" w:frame="1"/>
        </w:rPr>
        <w:t>of the hero</w:t>
      </w:r>
      <w:proofErr w:type="gramStart"/>
      <w:r w:rsidR="003E6CFF" w:rsidRPr="00B7659F">
        <w:rPr>
          <w:rFonts w:ascii="Century Gothic" w:hAnsi="Century Gothic"/>
          <w:bdr w:val="none" w:sz="0" w:space="0" w:color="auto" w:frame="1"/>
        </w:rPr>
        <w:t>)</w:t>
      </w:r>
      <w:r w:rsidR="00974281">
        <w:rPr>
          <w:rFonts w:ascii="Century Gothic" w:hAnsi="Century Gothic"/>
          <w:bdr w:val="none" w:sz="0" w:space="0" w:color="auto" w:frame="1"/>
        </w:rPr>
        <w:t>(</w:t>
      </w:r>
      <w:proofErr w:type="gramEnd"/>
      <w:r w:rsidR="00974281">
        <w:rPr>
          <w:rFonts w:ascii="Century Gothic" w:hAnsi="Century Gothic"/>
          <w:bdr w:val="none" w:sz="0" w:space="0" w:color="auto" w:frame="1"/>
        </w:rPr>
        <w:t>1912)</w:t>
      </w:r>
      <w:r w:rsidR="00974281">
        <w:rPr>
          <w:rFonts w:ascii="Century Gothic" w:hAnsi="Century Gothic" w:hint="cs"/>
          <w:bdr w:val="none" w:sz="0" w:space="0" w:color="auto" w:frame="1"/>
          <w:rtl/>
        </w:rPr>
        <w:t xml:space="preserve"> </w:t>
      </w:r>
      <w:r w:rsidR="00974281">
        <w:rPr>
          <w:rFonts w:ascii="Century Gothic" w:hAnsi="Century Gothic"/>
          <w:bdr w:val="none" w:sz="0" w:space="0" w:color="auto" w:frame="1"/>
        </w:rPr>
        <w:t xml:space="preserve"> (1917)</w:t>
      </w:r>
      <w:r w:rsidR="003E6CFF" w:rsidRPr="00B7659F">
        <w:rPr>
          <w:rFonts w:ascii="Century Gothic" w:hAnsi="Century Gothic"/>
          <w:bdr w:val="none" w:sz="0" w:space="0" w:color="auto" w:frame="1"/>
        </w:rPr>
        <w:t>,</w:t>
      </w:r>
      <w:r w:rsidR="00FD3FAE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FD3FAE" w:rsidRPr="0085191F">
        <w:rPr>
          <w:rFonts w:ascii="Century Gothic" w:hAnsi="Century Gothic"/>
          <w:i/>
          <w:bdr w:val="none" w:sz="0" w:space="0" w:color="auto" w:frame="1"/>
        </w:rPr>
        <w:t>al-</w:t>
      </w:r>
      <w:proofErr w:type="spellStart"/>
      <w:r w:rsidR="00FD3FAE" w:rsidRPr="0085191F">
        <w:rPr>
          <w:rFonts w:ascii="Century Gothic" w:hAnsi="Century Gothic"/>
          <w:i/>
          <w:bdr w:val="none" w:sz="0" w:space="0" w:color="auto" w:frame="1"/>
        </w:rPr>
        <w:t>Fadilah</w:t>
      </w:r>
      <w:proofErr w:type="spellEnd"/>
      <w:r w:rsidR="00FD3FAE" w:rsidRPr="00B7659F">
        <w:rPr>
          <w:rFonts w:ascii="Century Gothic" w:hAnsi="Century Gothic"/>
          <w:bdr w:val="none" w:sz="0" w:space="0" w:color="auto" w:frame="1"/>
        </w:rPr>
        <w:t xml:space="preserve"> (</w:t>
      </w:r>
      <w:r w:rsidR="00FD3FAE" w:rsidRPr="0085191F">
        <w:rPr>
          <w:rFonts w:ascii="Century Gothic" w:hAnsi="Century Gothic"/>
          <w:i/>
          <w:bdr w:val="none" w:sz="0" w:space="0" w:color="auto" w:frame="1"/>
        </w:rPr>
        <w:t>The Virtue</w:t>
      </w:r>
      <w:r w:rsidR="00FD3FAE" w:rsidRPr="00B7659F">
        <w:rPr>
          <w:rFonts w:ascii="Century Gothic" w:hAnsi="Century Gothic"/>
          <w:bdr w:val="none" w:sz="0" w:space="0" w:color="auto" w:frame="1"/>
        </w:rPr>
        <w:t xml:space="preserve">), </w:t>
      </w:r>
      <w:r w:rsidR="00D31780">
        <w:rPr>
          <w:rFonts w:ascii="Century Gothic" w:hAnsi="Century Gothic"/>
          <w:bdr w:val="none" w:sz="0" w:space="0" w:color="auto" w:frame="1"/>
        </w:rPr>
        <w:t xml:space="preserve">and </w:t>
      </w:r>
      <w:r w:rsidR="00FD3FAE" w:rsidRPr="00D31780">
        <w:rPr>
          <w:rFonts w:ascii="Century Gothic" w:hAnsi="Century Gothic"/>
          <w:i/>
          <w:iCs/>
          <w:bdr w:val="none" w:sz="0" w:space="0" w:color="auto" w:frame="1"/>
        </w:rPr>
        <w:t>al-</w:t>
      </w:r>
      <w:proofErr w:type="spellStart"/>
      <w:r w:rsidR="00FD3FAE" w:rsidRPr="00D31780">
        <w:rPr>
          <w:rFonts w:ascii="Century Gothic" w:hAnsi="Century Gothic"/>
          <w:i/>
          <w:iCs/>
          <w:bdr w:val="none" w:sz="0" w:space="0" w:color="auto" w:frame="1"/>
        </w:rPr>
        <w:t>Sha`ir</w:t>
      </w:r>
      <w:proofErr w:type="spellEnd"/>
      <w:r w:rsidR="00FD3FAE" w:rsidRPr="00B7659F">
        <w:rPr>
          <w:rFonts w:ascii="Century Gothic" w:hAnsi="Century Gothic"/>
          <w:bdr w:val="none" w:sz="0" w:space="0" w:color="auto" w:frame="1"/>
        </w:rPr>
        <w:t xml:space="preserve"> (</w:t>
      </w:r>
      <w:r w:rsidR="00FD3FAE" w:rsidRPr="0085191F">
        <w:rPr>
          <w:rFonts w:ascii="Century Gothic" w:hAnsi="Century Gothic"/>
          <w:i/>
          <w:bdr w:val="none" w:sz="0" w:space="0" w:color="auto" w:frame="1"/>
        </w:rPr>
        <w:t>The Poet</w:t>
      </w:r>
      <w:r w:rsidR="00FD3FAE" w:rsidRPr="00B7659F">
        <w:rPr>
          <w:rFonts w:ascii="Century Gothic" w:hAnsi="Century Gothic"/>
          <w:bdr w:val="none" w:sz="0" w:space="0" w:color="auto" w:frame="1"/>
        </w:rPr>
        <w:t>)</w:t>
      </w:r>
      <w:r w:rsidR="00B44DE7">
        <w:rPr>
          <w:rFonts w:ascii="Century Gothic" w:hAnsi="Century Gothic"/>
          <w:bdr w:val="none" w:sz="0" w:space="0" w:color="auto" w:frame="1"/>
        </w:rPr>
        <w:t>(1921)</w:t>
      </w:r>
      <w:r w:rsidR="00D31780">
        <w:rPr>
          <w:rFonts w:ascii="Century Gothic" w:hAnsi="Century Gothic"/>
          <w:bdr w:val="none" w:sz="0" w:space="0" w:color="auto" w:frame="1"/>
        </w:rPr>
        <w:t xml:space="preserve">. </w:t>
      </w:r>
      <w:r w:rsidR="00111D6B">
        <w:rPr>
          <w:rFonts w:ascii="Century Gothic" w:hAnsi="Century Gothic"/>
          <w:bdr w:val="none" w:sz="0" w:space="0" w:color="auto" w:frame="1"/>
        </w:rPr>
        <w:t>Finally, h</w:t>
      </w:r>
      <w:r w:rsidR="00D31780">
        <w:rPr>
          <w:rFonts w:ascii="Century Gothic" w:hAnsi="Century Gothic"/>
          <w:bdr w:val="none" w:sz="0" w:space="0" w:color="auto" w:frame="1"/>
        </w:rPr>
        <w:t>is</w:t>
      </w:r>
      <w:r w:rsidR="00FD3FAE" w:rsidRPr="00B7659F">
        <w:rPr>
          <w:rFonts w:ascii="Century Gothic" w:hAnsi="Century Gothic"/>
          <w:bdr w:val="none" w:sz="0" w:space="0" w:color="auto" w:frame="1"/>
        </w:rPr>
        <w:t xml:space="preserve"> </w:t>
      </w:r>
      <w:proofErr w:type="spellStart"/>
      <w:r w:rsidR="00FD3FAE" w:rsidRPr="00D31780">
        <w:rPr>
          <w:rFonts w:ascii="Century Gothic" w:hAnsi="Century Gothic"/>
          <w:i/>
          <w:iCs/>
          <w:bdr w:val="none" w:sz="0" w:space="0" w:color="auto" w:frame="1"/>
        </w:rPr>
        <w:t>Mukhtarat</w:t>
      </w:r>
      <w:proofErr w:type="spellEnd"/>
      <w:r w:rsidR="00FD3FAE" w:rsidRPr="00D31780">
        <w:rPr>
          <w:rFonts w:ascii="Century Gothic" w:hAnsi="Century Gothic"/>
          <w:i/>
          <w:iCs/>
          <w:bdr w:val="none" w:sz="0" w:space="0" w:color="auto" w:frame="1"/>
        </w:rPr>
        <w:t xml:space="preserve"> al-</w:t>
      </w:r>
      <w:proofErr w:type="spellStart"/>
      <w:r w:rsidR="00FD3FAE" w:rsidRPr="00D31780">
        <w:rPr>
          <w:rFonts w:ascii="Century Gothic" w:hAnsi="Century Gothic"/>
          <w:i/>
          <w:iCs/>
          <w:bdr w:val="none" w:sz="0" w:space="0" w:color="auto" w:frame="1"/>
        </w:rPr>
        <w:t>Manfalouti</w:t>
      </w:r>
      <w:proofErr w:type="spellEnd"/>
      <w:r w:rsidR="00FD3FAE" w:rsidRPr="00B7659F">
        <w:rPr>
          <w:rFonts w:ascii="Century Gothic" w:hAnsi="Century Gothic"/>
          <w:bdr w:val="none" w:sz="0" w:space="0" w:color="auto" w:frame="1"/>
        </w:rPr>
        <w:t xml:space="preserve"> (</w:t>
      </w:r>
      <w:r w:rsidR="00FD3FAE" w:rsidRPr="0085191F">
        <w:rPr>
          <w:rFonts w:ascii="Century Gothic" w:hAnsi="Century Gothic"/>
          <w:i/>
          <w:bdr w:val="none" w:sz="0" w:space="0" w:color="auto" w:frame="1"/>
        </w:rPr>
        <w:t>al-</w:t>
      </w:r>
      <w:proofErr w:type="spellStart"/>
      <w:r w:rsidR="00FD3FAE" w:rsidRPr="0085191F">
        <w:rPr>
          <w:rFonts w:ascii="Century Gothic" w:hAnsi="Century Gothic"/>
          <w:i/>
          <w:bdr w:val="none" w:sz="0" w:space="0" w:color="auto" w:frame="1"/>
        </w:rPr>
        <w:t>Manfalouti’s</w:t>
      </w:r>
      <w:proofErr w:type="spellEnd"/>
      <w:r w:rsidR="00FD3FAE" w:rsidRPr="0085191F">
        <w:rPr>
          <w:rFonts w:ascii="Century Gothic" w:hAnsi="Century Gothic"/>
          <w:i/>
          <w:bdr w:val="none" w:sz="0" w:space="0" w:color="auto" w:frame="1"/>
        </w:rPr>
        <w:t xml:space="preserve"> Selections</w:t>
      </w:r>
      <w:r w:rsidR="00FD3FAE" w:rsidRPr="00B7659F">
        <w:rPr>
          <w:rFonts w:ascii="Century Gothic" w:hAnsi="Century Gothic"/>
          <w:bdr w:val="none" w:sz="0" w:space="0" w:color="auto" w:frame="1"/>
        </w:rPr>
        <w:t>)</w:t>
      </w:r>
      <w:r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DD5566">
        <w:rPr>
          <w:rFonts w:ascii="Century Gothic" w:hAnsi="Century Gothic"/>
          <w:bdr w:val="none" w:sz="0" w:space="0" w:color="auto" w:frame="1"/>
        </w:rPr>
        <w:t xml:space="preserve">(1922) </w:t>
      </w:r>
      <w:r w:rsidR="00D31780">
        <w:rPr>
          <w:rFonts w:ascii="Century Gothic" w:hAnsi="Century Gothic"/>
          <w:bdr w:val="none" w:sz="0" w:space="0" w:color="auto" w:frame="1"/>
        </w:rPr>
        <w:t>includes</w:t>
      </w:r>
      <w:r w:rsidR="00FD3FAE" w:rsidRPr="00B7659F">
        <w:rPr>
          <w:rFonts w:ascii="Century Gothic" w:hAnsi="Century Gothic"/>
          <w:bdr w:val="none" w:sz="0" w:space="0" w:color="auto" w:frame="1"/>
        </w:rPr>
        <w:t xml:space="preserve"> pieces of poetry and prose which he selected from the works of different Arab poets and writers in different ages. </w:t>
      </w:r>
      <w:bookmarkStart w:id="2" w:name="_GoBack"/>
      <w:bookmarkEnd w:id="2"/>
    </w:p>
    <w:p w:rsidR="0015190C" w:rsidRDefault="00FD3FAE" w:rsidP="00111D6B">
      <w:pPr>
        <w:spacing w:line="360" w:lineRule="auto"/>
        <w:jc w:val="both"/>
        <w:rPr>
          <w:rFonts w:ascii="Century Gothic" w:hAnsi="Century Gothic"/>
          <w:bdr w:val="none" w:sz="0" w:space="0" w:color="auto" w:frame="1"/>
        </w:rPr>
      </w:pPr>
      <w:r w:rsidRPr="00B7659F">
        <w:rPr>
          <w:rFonts w:ascii="Century Gothic" w:hAnsi="Century Gothic"/>
          <w:bdr w:val="none" w:sz="0" w:space="0" w:color="auto" w:frame="1"/>
        </w:rPr>
        <w:t>Due to their rhetoric, unique</w:t>
      </w:r>
      <w:r w:rsidR="00334C62" w:rsidRPr="00B7659F">
        <w:rPr>
          <w:rFonts w:ascii="Century Gothic" w:hAnsi="Century Gothic"/>
          <w:bdr w:val="none" w:sz="0" w:space="0" w:color="auto" w:frame="1"/>
        </w:rPr>
        <w:t xml:space="preserve"> yet easy</w:t>
      </w:r>
      <w:r w:rsidRPr="00B7659F">
        <w:rPr>
          <w:rFonts w:ascii="Century Gothic" w:hAnsi="Century Gothic"/>
          <w:bdr w:val="none" w:sz="0" w:space="0" w:color="auto" w:frame="1"/>
        </w:rPr>
        <w:t xml:space="preserve"> style and true sentiment, al-</w:t>
      </w:r>
      <w:proofErr w:type="spellStart"/>
      <w:r w:rsidRPr="00B7659F">
        <w:rPr>
          <w:rFonts w:ascii="Century Gothic" w:hAnsi="Century Gothic"/>
          <w:bdr w:val="none" w:sz="0" w:space="0" w:color="auto" w:frame="1"/>
        </w:rPr>
        <w:t>Manfalouti’s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writings were well received </w:t>
      </w:r>
      <w:r w:rsidR="00334C62" w:rsidRPr="00B7659F">
        <w:rPr>
          <w:rFonts w:ascii="Century Gothic" w:hAnsi="Century Gothic"/>
          <w:bdr w:val="none" w:sz="0" w:space="0" w:color="auto" w:frame="1"/>
        </w:rPr>
        <w:t>by audience</w:t>
      </w:r>
      <w:r w:rsidR="00BB528A">
        <w:rPr>
          <w:rFonts w:ascii="Century Gothic" w:hAnsi="Century Gothic"/>
          <w:bdr w:val="none" w:sz="0" w:space="0" w:color="auto" w:frame="1"/>
        </w:rPr>
        <w:t>s</w:t>
      </w:r>
      <w:r w:rsidR="00334C62" w:rsidRPr="00B7659F">
        <w:rPr>
          <w:rFonts w:ascii="Century Gothic" w:hAnsi="Century Gothic"/>
          <w:bdr w:val="none" w:sz="0" w:space="0" w:color="auto" w:frame="1"/>
        </w:rPr>
        <w:t xml:space="preserve"> from different ages </w:t>
      </w:r>
      <w:r w:rsidRPr="00B7659F">
        <w:rPr>
          <w:rFonts w:ascii="Century Gothic" w:hAnsi="Century Gothic"/>
          <w:bdr w:val="none" w:sz="0" w:space="0" w:color="auto" w:frame="1"/>
        </w:rPr>
        <w:t>in different Arab countries</w:t>
      </w:r>
      <w:r w:rsidR="00BB528A">
        <w:rPr>
          <w:rFonts w:ascii="Century Gothic" w:hAnsi="Century Gothic"/>
          <w:bdr w:val="none" w:sz="0" w:space="0" w:color="auto" w:frame="1"/>
        </w:rPr>
        <w:t>,</w:t>
      </w:r>
      <w:r w:rsidR="002521E8" w:rsidRPr="00B7659F">
        <w:rPr>
          <w:rFonts w:ascii="Century Gothic" w:hAnsi="Century Gothic"/>
          <w:bdr w:val="none" w:sz="0" w:space="0" w:color="auto" w:frame="1"/>
        </w:rPr>
        <w:t xml:space="preserve"> and were reprinted several times</w:t>
      </w:r>
      <w:r w:rsidR="005D2475" w:rsidRPr="00B7659F">
        <w:rPr>
          <w:rFonts w:ascii="Century Gothic" w:hAnsi="Century Gothic"/>
          <w:bdr w:val="none" w:sz="0" w:space="0" w:color="auto" w:frame="1"/>
        </w:rPr>
        <w:t>.</w:t>
      </w:r>
      <w:r w:rsidR="00334C62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5D2475" w:rsidRPr="00B7659F">
        <w:rPr>
          <w:rFonts w:ascii="Century Gothic" w:hAnsi="Century Gothic"/>
          <w:bdr w:val="none" w:sz="0" w:space="0" w:color="auto" w:frame="1"/>
        </w:rPr>
        <w:t xml:space="preserve">Nonetheless </w:t>
      </w:r>
      <w:r w:rsidR="002521E8" w:rsidRPr="00B7659F">
        <w:rPr>
          <w:rFonts w:ascii="Century Gothic" w:hAnsi="Century Gothic"/>
          <w:bdr w:val="none" w:sz="0" w:space="0" w:color="auto" w:frame="1"/>
        </w:rPr>
        <w:t>Al-</w:t>
      </w:r>
      <w:proofErr w:type="spellStart"/>
      <w:r w:rsidR="002521E8" w:rsidRPr="00B7659F">
        <w:rPr>
          <w:rFonts w:ascii="Century Gothic" w:hAnsi="Century Gothic"/>
          <w:bdr w:val="none" w:sz="0" w:space="0" w:color="auto" w:frame="1"/>
        </w:rPr>
        <w:t>Manfalouti’s</w:t>
      </w:r>
      <w:proofErr w:type="spellEnd"/>
      <w:r w:rsidR="002521E8" w:rsidRPr="00B7659F">
        <w:rPr>
          <w:rFonts w:ascii="Century Gothic" w:hAnsi="Century Gothic"/>
          <w:bdr w:val="none" w:sz="0" w:space="0" w:color="auto" w:frame="1"/>
        </w:rPr>
        <w:t xml:space="preserve"> writings are generally characterized by tragedy, </w:t>
      </w:r>
      <w:r w:rsidR="00D31780">
        <w:rPr>
          <w:rFonts w:ascii="Century Gothic" w:hAnsi="Century Gothic"/>
          <w:bdr w:val="none" w:sz="0" w:space="0" w:color="auto" w:frame="1"/>
        </w:rPr>
        <w:t>s</w:t>
      </w:r>
      <w:r w:rsidR="002521E8" w:rsidRPr="00B7659F">
        <w:rPr>
          <w:rFonts w:ascii="Century Gothic" w:hAnsi="Century Gothic"/>
          <w:bdr w:val="none" w:sz="0" w:space="0" w:color="auto" w:frame="1"/>
        </w:rPr>
        <w:t xml:space="preserve">adness, </w:t>
      </w:r>
      <w:r w:rsidR="00BB528A">
        <w:rPr>
          <w:rFonts w:ascii="Century Gothic" w:hAnsi="Century Gothic"/>
          <w:bdr w:val="none" w:sz="0" w:space="0" w:color="auto" w:frame="1"/>
        </w:rPr>
        <w:t xml:space="preserve">and a </w:t>
      </w:r>
      <w:r w:rsidR="00D31780">
        <w:rPr>
          <w:rFonts w:ascii="Century Gothic" w:hAnsi="Century Gothic"/>
          <w:bdr w:val="none" w:sz="0" w:space="0" w:color="auto" w:frame="1"/>
        </w:rPr>
        <w:t>p</w:t>
      </w:r>
      <w:r w:rsidR="002521E8" w:rsidRPr="00B7659F">
        <w:rPr>
          <w:rFonts w:ascii="Century Gothic" w:hAnsi="Century Gothic"/>
          <w:bdr w:val="none" w:sz="0" w:space="0" w:color="auto" w:frame="1"/>
        </w:rPr>
        <w:t>essimis</w:t>
      </w:r>
      <w:r w:rsidR="00E85005" w:rsidRPr="00B7659F">
        <w:rPr>
          <w:rFonts w:ascii="Century Gothic" w:hAnsi="Century Gothic"/>
          <w:bdr w:val="none" w:sz="0" w:space="0" w:color="auto" w:frame="1"/>
        </w:rPr>
        <w:t>tic worldview</w:t>
      </w:r>
      <w:r w:rsidR="00BB528A">
        <w:rPr>
          <w:rFonts w:ascii="Century Gothic" w:hAnsi="Century Gothic"/>
          <w:bdr w:val="none" w:sz="0" w:space="0" w:color="auto" w:frame="1"/>
        </w:rPr>
        <w:t>,</w:t>
      </w:r>
      <w:r w:rsidR="002521E8" w:rsidRPr="00B7659F">
        <w:rPr>
          <w:rFonts w:ascii="Century Gothic" w:hAnsi="Century Gothic"/>
          <w:bdr w:val="none" w:sz="0" w:space="0" w:color="auto" w:frame="1"/>
        </w:rPr>
        <w:t xml:space="preserve"> even when he writes</w:t>
      </w:r>
      <w:r w:rsidR="00E85005" w:rsidRPr="00B7659F">
        <w:rPr>
          <w:rFonts w:ascii="Century Gothic" w:hAnsi="Century Gothic"/>
          <w:bdr w:val="none" w:sz="0" w:space="0" w:color="auto" w:frame="1"/>
        </w:rPr>
        <w:t xml:space="preserve"> or translates</w:t>
      </w:r>
      <w:r w:rsidR="002521E8" w:rsidRPr="00B7659F">
        <w:rPr>
          <w:rFonts w:ascii="Century Gothic" w:hAnsi="Century Gothic"/>
          <w:bdr w:val="none" w:sz="0" w:space="0" w:color="auto" w:frame="1"/>
        </w:rPr>
        <w:t xml:space="preserve"> romantic stories, to </w:t>
      </w:r>
      <w:r w:rsidR="00BB528A">
        <w:rPr>
          <w:rFonts w:ascii="Century Gothic" w:hAnsi="Century Gothic"/>
          <w:bdr w:val="none" w:sz="0" w:space="0" w:color="auto" w:frame="1"/>
        </w:rPr>
        <w:t>such an</w:t>
      </w:r>
      <w:r w:rsidR="00BB528A"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2521E8" w:rsidRPr="00B7659F">
        <w:rPr>
          <w:rFonts w:ascii="Century Gothic" w:hAnsi="Century Gothic"/>
          <w:bdr w:val="none" w:sz="0" w:space="0" w:color="auto" w:frame="1"/>
        </w:rPr>
        <w:t xml:space="preserve">extent that he was described as </w:t>
      </w:r>
      <w:r w:rsidR="00BB528A">
        <w:rPr>
          <w:rFonts w:ascii="Century Gothic" w:hAnsi="Century Gothic"/>
          <w:bdr w:val="none" w:sz="0" w:space="0" w:color="auto" w:frame="1"/>
        </w:rPr>
        <w:t>‘</w:t>
      </w:r>
      <w:r w:rsidR="002521E8" w:rsidRPr="00B7659F">
        <w:rPr>
          <w:rFonts w:ascii="Century Gothic" w:hAnsi="Century Gothic"/>
          <w:bdr w:val="none" w:sz="0" w:space="0" w:color="auto" w:frame="1"/>
        </w:rPr>
        <w:t>the writer of Sorrow and Crying</w:t>
      </w:r>
      <w:r w:rsidR="00BB528A">
        <w:rPr>
          <w:rFonts w:ascii="Century Gothic" w:hAnsi="Century Gothic"/>
          <w:bdr w:val="none" w:sz="0" w:space="0" w:color="auto" w:frame="1"/>
        </w:rPr>
        <w:t>.’</w:t>
      </w:r>
      <w:r w:rsidR="00E85005" w:rsidRPr="00B7659F">
        <w:rPr>
          <w:rFonts w:ascii="Century Gothic" w:hAnsi="Century Gothic"/>
          <w:bdr w:val="none" w:sz="0" w:space="0" w:color="auto" w:frame="1"/>
        </w:rPr>
        <w:t xml:space="preserve"> And his w</w:t>
      </w:r>
      <w:r w:rsidR="007056FC" w:rsidRPr="00B7659F">
        <w:rPr>
          <w:rFonts w:ascii="Century Gothic" w:hAnsi="Century Gothic"/>
          <w:bdr w:val="none" w:sz="0" w:space="0" w:color="auto" w:frame="1"/>
        </w:rPr>
        <w:t>o</w:t>
      </w:r>
      <w:r w:rsidR="00E85005" w:rsidRPr="00B7659F">
        <w:rPr>
          <w:rFonts w:ascii="Century Gothic" w:hAnsi="Century Gothic"/>
          <w:bdr w:val="none" w:sz="0" w:space="0" w:color="auto" w:frame="1"/>
        </w:rPr>
        <w:t xml:space="preserve">rks were described as </w:t>
      </w:r>
      <w:r w:rsidR="00BB528A">
        <w:rPr>
          <w:rFonts w:ascii="Century Gothic" w:hAnsi="Century Gothic"/>
          <w:bdr w:val="none" w:sz="0" w:space="0" w:color="auto" w:frame="1"/>
        </w:rPr>
        <w:t>‘</w:t>
      </w:r>
      <w:r w:rsidR="00E85005" w:rsidRPr="00B7659F">
        <w:rPr>
          <w:rFonts w:ascii="Century Gothic" w:hAnsi="Century Gothic"/>
          <w:bdr w:val="none" w:sz="0" w:space="0" w:color="auto" w:frame="1"/>
        </w:rPr>
        <w:t xml:space="preserve">Works of </w:t>
      </w:r>
      <w:r w:rsidR="005D2475" w:rsidRPr="00B7659F">
        <w:rPr>
          <w:rFonts w:ascii="Century Gothic" w:hAnsi="Century Gothic"/>
          <w:bdr w:val="none" w:sz="0" w:space="0" w:color="auto" w:frame="1"/>
        </w:rPr>
        <w:t>calamities</w:t>
      </w:r>
      <w:r w:rsidR="00E85005" w:rsidRPr="00B7659F">
        <w:rPr>
          <w:rFonts w:ascii="Century Gothic" w:hAnsi="Century Gothic"/>
          <w:bdr w:val="none" w:sz="0" w:space="0" w:color="auto" w:frame="1"/>
        </w:rPr>
        <w:t>, disasters and horrifying ends.</w:t>
      </w:r>
      <w:r w:rsidR="00BB528A">
        <w:rPr>
          <w:rFonts w:ascii="Century Gothic" w:hAnsi="Century Gothic"/>
          <w:bdr w:val="none" w:sz="0" w:space="0" w:color="auto" w:frame="1"/>
        </w:rPr>
        <w:t>’</w:t>
      </w:r>
    </w:p>
    <w:p w:rsidR="0015190C" w:rsidRDefault="00E85005" w:rsidP="00111D6B">
      <w:pPr>
        <w:spacing w:line="360" w:lineRule="auto"/>
        <w:jc w:val="both"/>
        <w:rPr>
          <w:rFonts w:ascii="Century Gothic" w:hAnsi="Century Gothic"/>
        </w:rPr>
      </w:pPr>
      <w:r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7056FC" w:rsidRPr="00B7659F">
        <w:rPr>
          <w:rFonts w:ascii="Century Gothic" w:hAnsi="Century Gothic"/>
          <w:bdr w:val="none" w:sz="0" w:space="0" w:color="auto" w:frame="1"/>
        </w:rPr>
        <w:t>However, he does this in a very engaging and appealing manner. He places his heroes</w:t>
      </w:r>
      <w:r w:rsidR="007056FC" w:rsidRPr="00B7659F">
        <w:rPr>
          <w:rFonts w:ascii="Century Gothic" w:eastAsia="Times New Roman" w:hAnsi="Century Gothic" w:cs="Times New Roman"/>
        </w:rPr>
        <w:t xml:space="preserve"> in a tragic position</w:t>
      </w:r>
      <w:r w:rsidR="00D31780">
        <w:rPr>
          <w:rFonts w:ascii="Century Gothic" w:eastAsia="Times New Roman" w:hAnsi="Century Gothic" w:cs="Times New Roman"/>
        </w:rPr>
        <w:t xml:space="preserve">, which he </w:t>
      </w:r>
      <w:r w:rsidR="00C56996" w:rsidRPr="00B7659F">
        <w:rPr>
          <w:rFonts w:ascii="Century Gothic" w:eastAsia="Times New Roman" w:hAnsi="Century Gothic" w:cs="Times New Roman"/>
        </w:rPr>
        <w:t>skillfully turns into a theme that</w:t>
      </w:r>
      <w:r w:rsidR="007056FC" w:rsidRPr="00B7659F">
        <w:rPr>
          <w:rFonts w:ascii="Century Gothic" w:eastAsia="Times New Roman" w:hAnsi="Century Gothic" w:cs="Times New Roman"/>
        </w:rPr>
        <w:t xml:space="preserve"> move</w:t>
      </w:r>
      <w:r w:rsidR="00C56996" w:rsidRPr="00B7659F">
        <w:rPr>
          <w:rFonts w:ascii="Century Gothic" w:eastAsia="Times New Roman" w:hAnsi="Century Gothic" w:cs="Times New Roman"/>
        </w:rPr>
        <w:t>s</w:t>
      </w:r>
      <w:r w:rsidR="007056FC" w:rsidRPr="00B7659F">
        <w:rPr>
          <w:rFonts w:ascii="Century Gothic" w:eastAsia="Times New Roman" w:hAnsi="Century Gothic" w:cs="Times New Roman"/>
        </w:rPr>
        <w:t xml:space="preserve"> his readers</w:t>
      </w:r>
      <w:r w:rsidR="00BB528A">
        <w:rPr>
          <w:rFonts w:ascii="Century Gothic" w:eastAsia="Times New Roman" w:hAnsi="Century Gothic" w:cs="Times New Roman"/>
        </w:rPr>
        <w:t>. T</w:t>
      </w:r>
      <w:r w:rsidR="00C56996" w:rsidRPr="00B7659F">
        <w:rPr>
          <w:rFonts w:ascii="Century Gothic" w:eastAsia="Times New Roman" w:hAnsi="Century Gothic" w:cs="Times New Roman"/>
        </w:rPr>
        <w:t xml:space="preserve">ogether with his ability to sketch the situation </w:t>
      </w:r>
      <w:r w:rsidR="005D2475" w:rsidRPr="00B7659F">
        <w:rPr>
          <w:rFonts w:ascii="Century Gothic" w:eastAsia="Times New Roman" w:hAnsi="Century Gothic" w:cs="Times New Roman"/>
        </w:rPr>
        <w:t>in</w:t>
      </w:r>
      <w:r w:rsidR="00C56996" w:rsidRPr="00B7659F">
        <w:rPr>
          <w:rFonts w:ascii="Century Gothic" w:eastAsia="Times New Roman" w:hAnsi="Century Gothic" w:cs="Times New Roman"/>
        </w:rPr>
        <w:t xml:space="preserve"> a unique literary style, </w:t>
      </w:r>
      <w:r w:rsidR="00BB528A">
        <w:rPr>
          <w:rFonts w:ascii="Century Gothic" w:eastAsia="Times New Roman" w:hAnsi="Century Gothic" w:cs="Times New Roman"/>
        </w:rPr>
        <w:t xml:space="preserve">this pathos </w:t>
      </w:r>
      <w:r w:rsidR="00C56996" w:rsidRPr="00B7659F">
        <w:rPr>
          <w:rFonts w:ascii="Century Gothic" w:eastAsia="Times New Roman" w:hAnsi="Century Gothic" w:cs="Times New Roman"/>
        </w:rPr>
        <w:t>explains his excellence in</w:t>
      </w:r>
      <w:r w:rsidR="007056FC" w:rsidRPr="00B7659F">
        <w:rPr>
          <w:rFonts w:ascii="Century Gothic" w:eastAsia="Times New Roman" w:hAnsi="Century Gothic" w:cs="Times New Roman"/>
        </w:rPr>
        <w:t xml:space="preserve"> appealing to the emotions. </w:t>
      </w:r>
      <w:r w:rsidR="005D2475" w:rsidRPr="00B7659F">
        <w:rPr>
          <w:rFonts w:ascii="Century Gothic" w:eastAsia="Times New Roman" w:hAnsi="Century Gothic" w:cs="Times New Roman"/>
        </w:rPr>
        <w:t xml:space="preserve">Moreover, </w:t>
      </w:r>
      <w:r w:rsidR="005D2475" w:rsidRPr="00B7659F">
        <w:rPr>
          <w:rFonts w:ascii="Century Gothic" w:hAnsi="Century Gothic"/>
        </w:rPr>
        <w:t xml:space="preserve">His writings show he was influenced by the religious reform movement, pan-Islamism, and the rise of Egyptian nationalism. </w:t>
      </w:r>
    </w:p>
    <w:p w:rsidR="00C56996" w:rsidRPr="00B7659F" w:rsidRDefault="00512CE6" w:rsidP="0085191F">
      <w:pPr>
        <w:spacing w:line="360" w:lineRule="auto"/>
        <w:jc w:val="both"/>
        <w:rPr>
          <w:rFonts w:ascii="Century Gothic" w:hAnsi="Century Gothic"/>
        </w:rPr>
      </w:pPr>
      <w:r w:rsidRPr="00B7659F">
        <w:rPr>
          <w:rFonts w:ascii="Century Gothic" w:hAnsi="Century Gothic"/>
        </w:rPr>
        <w:t xml:space="preserve">His </w:t>
      </w:r>
      <w:r w:rsidR="0085191F">
        <w:rPr>
          <w:rFonts w:ascii="Century Gothic" w:hAnsi="Century Gothic"/>
        </w:rPr>
        <w:t>works</w:t>
      </w:r>
      <w:r w:rsidR="0085191F" w:rsidRPr="00B7659F">
        <w:rPr>
          <w:rFonts w:ascii="Century Gothic" w:hAnsi="Century Gothic"/>
        </w:rPr>
        <w:t xml:space="preserve"> </w:t>
      </w:r>
      <w:r w:rsidRPr="00B7659F">
        <w:rPr>
          <w:rFonts w:ascii="Century Gothic" w:hAnsi="Century Gothic"/>
        </w:rPr>
        <w:t xml:space="preserve">appealed for Arab readers because such shocking yet effervescent </w:t>
      </w:r>
      <w:r w:rsidR="0085191F">
        <w:rPr>
          <w:rFonts w:ascii="Century Gothic" w:hAnsi="Century Gothic"/>
        </w:rPr>
        <w:t>style</w:t>
      </w:r>
      <w:r w:rsidR="0085191F" w:rsidRPr="00B7659F">
        <w:rPr>
          <w:rFonts w:ascii="Century Gothic" w:hAnsi="Century Gothic"/>
        </w:rPr>
        <w:t xml:space="preserve"> </w:t>
      </w:r>
      <w:r w:rsidRPr="00B7659F">
        <w:rPr>
          <w:rFonts w:ascii="Century Gothic" w:hAnsi="Century Gothic"/>
        </w:rPr>
        <w:t xml:space="preserve">did not exist before in Arabic literature. The style, the subjects, the manner of presentation, all possessed an immediate appeal to the Arab audience. </w:t>
      </w:r>
      <w:r w:rsidRPr="00B7659F">
        <w:rPr>
          <w:rFonts w:ascii="Century Gothic" w:hAnsi="Century Gothic"/>
          <w:bdr w:val="none" w:sz="0" w:space="0" w:color="auto" w:frame="1"/>
        </w:rPr>
        <w:t xml:space="preserve">Therefore, despite the harsh critiques he received from </w:t>
      </w:r>
      <w:r w:rsidRPr="00B7659F">
        <w:rPr>
          <w:rFonts w:ascii="Century Gothic" w:hAnsi="Century Gothic"/>
        </w:rPr>
        <w:t>conservatives and modernists</w:t>
      </w:r>
      <w:r w:rsidR="00546363">
        <w:rPr>
          <w:rFonts w:ascii="Century Gothic" w:hAnsi="Century Gothic"/>
        </w:rPr>
        <w:t xml:space="preserve"> alike</w:t>
      </w:r>
      <w:r w:rsidRPr="00B7659F">
        <w:rPr>
          <w:rFonts w:ascii="Century Gothic" w:hAnsi="Century Gothic"/>
          <w:bdr w:val="none" w:sz="0" w:space="0" w:color="auto" w:frame="1"/>
        </w:rPr>
        <w:t xml:space="preserve">, </w:t>
      </w:r>
      <w:r w:rsidRPr="00B7659F">
        <w:rPr>
          <w:rFonts w:ascii="Century Gothic" w:hAnsi="Century Gothic"/>
        </w:rPr>
        <w:t xml:space="preserve">his </w:t>
      </w:r>
      <w:r w:rsidRPr="0085191F">
        <w:rPr>
          <w:rFonts w:ascii="Century Gothic" w:hAnsi="Century Gothic"/>
          <w:i/>
        </w:rPr>
        <w:t>al-</w:t>
      </w:r>
      <w:proofErr w:type="spellStart"/>
      <w:r w:rsidRPr="0085191F">
        <w:rPr>
          <w:rFonts w:ascii="Century Gothic" w:hAnsi="Century Gothic"/>
          <w:i/>
        </w:rPr>
        <w:t>Nazarat</w:t>
      </w:r>
      <w:proofErr w:type="spellEnd"/>
      <w:r w:rsidRPr="00B7659F">
        <w:rPr>
          <w:rFonts w:ascii="Century Gothic" w:hAnsi="Century Gothic"/>
        </w:rPr>
        <w:t xml:space="preserve"> has survived all attacks and remained the most widely read work in modern Arabic literature.</w:t>
      </w:r>
    </w:p>
    <w:p w:rsidR="00546363" w:rsidRPr="0015190C" w:rsidRDefault="00334C62" w:rsidP="0015190C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</w:rPr>
      </w:pPr>
      <w:r w:rsidRPr="00B7659F">
        <w:rPr>
          <w:rFonts w:ascii="Century Gothic" w:hAnsi="Century Gothic"/>
          <w:bdr w:val="none" w:sz="0" w:space="0" w:color="auto" w:frame="1"/>
        </w:rPr>
        <w:t>The harshest critic</w:t>
      </w:r>
      <w:r w:rsidR="002521E8" w:rsidRPr="00B7659F">
        <w:rPr>
          <w:rFonts w:ascii="Century Gothic" w:hAnsi="Century Gothic"/>
          <w:bdr w:val="none" w:sz="0" w:space="0" w:color="auto" w:frame="1"/>
        </w:rPr>
        <w:t>s</w:t>
      </w:r>
      <w:r w:rsidRPr="00B7659F">
        <w:rPr>
          <w:rFonts w:ascii="Century Gothic" w:hAnsi="Century Gothic"/>
          <w:bdr w:val="none" w:sz="0" w:space="0" w:color="auto" w:frame="1"/>
        </w:rPr>
        <w:t xml:space="preserve"> of al-</w:t>
      </w:r>
      <w:proofErr w:type="spellStart"/>
      <w:r w:rsidRPr="00B7659F">
        <w:rPr>
          <w:rFonts w:ascii="Century Gothic" w:hAnsi="Century Gothic"/>
          <w:bdr w:val="none" w:sz="0" w:space="0" w:color="auto" w:frame="1"/>
        </w:rPr>
        <w:t>Manfalouti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546363">
        <w:rPr>
          <w:rFonts w:ascii="Century Gothic" w:hAnsi="Century Gothic"/>
          <w:bdr w:val="none" w:sz="0" w:space="0" w:color="auto" w:frame="1"/>
        </w:rPr>
        <w:t>were</w:t>
      </w:r>
      <w:r w:rsidRPr="00B7659F">
        <w:rPr>
          <w:rFonts w:ascii="Century Gothic" w:hAnsi="Century Gothic"/>
          <w:bdr w:val="none" w:sz="0" w:space="0" w:color="auto" w:frame="1"/>
        </w:rPr>
        <w:t xml:space="preserve"> the Lebanese writer Umar </w:t>
      </w:r>
      <w:proofErr w:type="spellStart"/>
      <w:r w:rsidRPr="00B7659F">
        <w:rPr>
          <w:rFonts w:ascii="Century Gothic" w:hAnsi="Century Gothic"/>
          <w:bdr w:val="none" w:sz="0" w:space="0" w:color="auto" w:frame="1"/>
        </w:rPr>
        <w:t>Fakhouri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and the Egyptian critic Ibrahim `</w:t>
      </w:r>
      <w:proofErr w:type="spellStart"/>
      <w:r w:rsidRPr="00B7659F">
        <w:rPr>
          <w:rFonts w:ascii="Century Gothic" w:hAnsi="Century Gothic"/>
          <w:bdr w:val="none" w:sz="0" w:space="0" w:color="auto" w:frame="1"/>
        </w:rPr>
        <w:t>Abd</w:t>
      </w:r>
      <w:proofErr w:type="spellEnd"/>
      <w:r w:rsidRPr="00B7659F">
        <w:rPr>
          <w:rFonts w:ascii="Century Gothic" w:hAnsi="Century Gothic"/>
          <w:bdr w:val="none" w:sz="0" w:space="0" w:color="auto" w:frame="1"/>
        </w:rPr>
        <w:t xml:space="preserve"> al-Qadir al-</w:t>
      </w:r>
      <w:proofErr w:type="spellStart"/>
      <w:r w:rsidRPr="00B7659F">
        <w:rPr>
          <w:rFonts w:ascii="Century Gothic" w:hAnsi="Century Gothic"/>
          <w:bdr w:val="none" w:sz="0" w:space="0" w:color="auto" w:frame="1"/>
        </w:rPr>
        <w:t>Mazini</w:t>
      </w:r>
      <w:proofErr w:type="spellEnd"/>
      <w:r w:rsidR="00546363">
        <w:rPr>
          <w:rFonts w:ascii="Century Gothic" w:hAnsi="Century Gothic"/>
          <w:bdr w:val="none" w:sz="0" w:space="0" w:color="auto" w:frame="1"/>
        </w:rPr>
        <w:t>. However,</w:t>
      </w:r>
      <w:r w:rsidR="002521E8" w:rsidRPr="00B7659F">
        <w:rPr>
          <w:rFonts w:ascii="Century Gothic" w:hAnsi="Century Gothic"/>
          <w:bdr w:val="none" w:sz="0" w:space="0" w:color="auto" w:frame="1"/>
        </w:rPr>
        <w:t xml:space="preserve"> other great writers and poets such as </w:t>
      </w:r>
      <w:proofErr w:type="spellStart"/>
      <w:r w:rsidR="002521E8" w:rsidRPr="00B7659F">
        <w:rPr>
          <w:rFonts w:ascii="Century Gothic" w:hAnsi="Century Gothic"/>
          <w:bdr w:val="none" w:sz="0" w:space="0" w:color="auto" w:frame="1"/>
        </w:rPr>
        <w:t>Taha</w:t>
      </w:r>
      <w:proofErr w:type="spellEnd"/>
      <w:r w:rsidR="002521E8" w:rsidRPr="00B7659F">
        <w:rPr>
          <w:rFonts w:ascii="Century Gothic" w:hAnsi="Century Gothic"/>
          <w:bdr w:val="none" w:sz="0" w:space="0" w:color="auto" w:frame="1"/>
        </w:rPr>
        <w:t xml:space="preserve"> Hussein</w:t>
      </w:r>
      <w:r w:rsidR="00546363">
        <w:rPr>
          <w:rFonts w:ascii="Century Gothic" w:hAnsi="Century Gothic"/>
          <w:bdr w:val="none" w:sz="0" w:space="0" w:color="auto" w:frame="1"/>
        </w:rPr>
        <w:t>,</w:t>
      </w:r>
      <w:r w:rsidR="002521E8" w:rsidRPr="00B7659F">
        <w:rPr>
          <w:rFonts w:ascii="Century Gothic" w:hAnsi="Century Gothic"/>
          <w:bdr w:val="none" w:sz="0" w:space="0" w:color="auto" w:frame="1"/>
        </w:rPr>
        <w:t xml:space="preserve"> Mahmoud `Abbas al-`</w:t>
      </w:r>
      <w:proofErr w:type="spellStart"/>
      <w:r w:rsidR="002521E8" w:rsidRPr="00B7659F">
        <w:rPr>
          <w:rFonts w:ascii="Century Gothic" w:hAnsi="Century Gothic"/>
          <w:bdr w:val="none" w:sz="0" w:space="0" w:color="auto" w:frame="1"/>
        </w:rPr>
        <w:t>Aqaad</w:t>
      </w:r>
      <w:proofErr w:type="spellEnd"/>
      <w:r w:rsidR="002521E8" w:rsidRPr="00B7659F">
        <w:rPr>
          <w:rFonts w:ascii="Century Gothic" w:hAnsi="Century Gothic"/>
          <w:bdr w:val="none" w:sz="0" w:space="0" w:color="auto" w:frame="1"/>
        </w:rPr>
        <w:t>,</w:t>
      </w:r>
      <w:r w:rsidRPr="00B7659F">
        <w:rPr>
          <w:rFonts w:ascii="Century Gothic" w:hAnsi="Century Gothic"/>
          <w:bdr w:val="none" w:sz="0" w:space="0" w:color="auto" w:frame="1"/>
        </w:rPr>
        <w:t xml:space="preserve"> </w:t>
      </w:r>
      <w:r w:rsidR="002521E8" w:rsidRPr="00B7659F">
        <w:rPr>
          <w:rFonts w:ascii="Century Gothic" w:hAnsi="Century Gothic"/>
          <w:bdr w:val="none" w:sz="0" w:space="0" w:color="auto" w:frame="1"/>
        </w:rPr>
        <w:t xml:space="preserve">Ahmad </w:t>
      </w:r>
      <w:proofErr w:type="spellStart"/>
      <w:r w:rsidR="002521E8" w:rsidRPr="00B7659F">
        <w:rPr>
          <w:rFonts w:ascii="Century Gothic" w:hAnsi="Century Gothic"/>
          <w:bdr w:val="none" w:sz="0" w:space="0" w:color="auto" w:frame="1"/>
        </w:rPr>
        <w:t>Shawqi</w:t>
      </w:r>
      <w:proofErr w:type="spellEnd"/>
      <w:r w:rsidR="00BB528A">
        <w:rPr>
          <w:rFonts w:ascii="Century Gothic" w:hAnsi="Century Gothic"/>
          <w:bdr w:val="none" w:sz="0" w:space="0" w:color="auto" w:frame="1"/>
        </w:rPr>
        <w:t>,</w:t>
      </w:r>
      <w:r w:rsidR="002521E8" w:rsidRPr="00B7659F">
        <w:rPr>
          <w:rFonts w:ascii="Century Gothic" w:hAnsi="Century Gothic"/>
          <w:bdr w:val="none" w:sz="0" w:space="0" w:color="auto" w:frame="1"/>
        </w:rPr>
        <w:t xml:space="preserve"> and Hafiz Ibrahim greatly admired and lauded his works.</w:t>
      </w:r>
      <w:r w:rsidR="00E85005" w:rsidRPr="00B7659F">
        <w:rPr>
          <w:rFonts w:ascii="Century Gothic" w:hAnsi="Century Gothic"/>
          <w:bdr w:val="none" w:sz="0" w:space="0" w:color="auto" w:frame="1"/>
        </w:rPr>
        <w:t xml:space="preserve"> His supporters describe him as the most eloquent writer of </w:t>
      </w:r>
      <w:r w:rsidR="00BB528A">
        <w:rPr>
          <w:rFonts w:ascii="Century Gothic" w:hAnsi="Century Gothic"/>
          <w:bdr w:val="none" w:sz="0" w:space="0" w:color="auto" w:frame="1"/>
        </w:rPr>
        <w:t>the m</w:t>
      </w:r>
      <w:r w:rsidR="00E85005" w:rsidRPr="00B7659F">
        <w:rPr>
          <w:rFonts w:ascii="Century Gothic" w:hAnsi="Century Gothic"/>
          <w:bdr w:val="none" w:sz="0" w:space="0" w:color="auto" w:frame="1"/>
        </w:rPr>
        <w:t>odern age in terms of the eloquence and articulateness of his statements</w:t>
      </w:r>
      <w:r w:rsidR="00BB528A">
        <w:rPr>
          <w:rFonts w:ascii="Century Gothic" w:hAnsi="Century Gothic"/>
          <w:bdr w:val="none" w:sz="0" w:space="0" w:color="auto" w:frame="1"/>
        </w:rPr>
        <w:t>,</w:t>
      </w:r>
      <w:r w:rsidR="00E85005" w:rsidRPr="00B7659F">
        <w:rPr>
          <w:rFonts w:ascii="Century Gothic" w:hAnsi="Century Gothic"/>
          <w:bdr w:val="none" w:sz="0" w:space="0" w:color="auto" w:frame="1"/>
        </w:rPr>
        <w:t xml:space="preserve"> and</w:t>
      </w:r>
      <w:r w:rsidR="00BB528A">
        <w:rPr>
          <w:rFonts w:ascii="Century Gothic" w:hAnsi="Century Gothic"/>
          <w:bdr w:val="none" w:sz="0" w:space="0" w:color="auto" w:frame="1"/>
        </w:rPr>
        <w:t xml:space="preserve"> his</w:t>
      </w:r>
      <w:r w:rsidR="00E85005" w:rsidRPr="00B7659F">
        <w:rPr>
          <w:rFonts w:ascii="Century Gothic" w:hAnsi="Century Gothic"/>
          <w:bdr w:val="none" w:sz="0" w:space="0" w:color="auto" w:frame="1"/>
        </w:rPr>
        <w:t xml:space="preserve"> ability to produce a realistic image </w:t>
      </w:r>
      <w:r w:rsidR="00E85005" w:rsidRPr="00B7659F">
        <w:rPr>
          <w:rFonts w:ascii="Century Gothic" w:hAnsi="Century Gothic"/>
          <w:bdr w:val="none" w:sz="0" w:space="0" w:color="auto" w:frame="1"/>
        </w:rPr>
        <w:lastRenderedPageBreak/>
        <w:t xml:space="preserve">of the events he describes </w:t>
      </w:r>
      <w:r w:rsidR="00BB528A">
        <w:rPr>
          <w:rFonts w:ascii="Century Gothic" w:hAnsi="Century Gothic"/>
          <w:bdr w:val="none" w:sz="0" w:space="0" w:color="auto" w:frame="1"/>
        </w:rPr>
        <w:t xml:space="preserve">so that it </w:t>
      </w:r>
      <w:r w:rsidR="00E85005" w:rsidRPr="00B7659F">
        <w:rPr>
          <w:rFonts w:ascii="Century Gothic" w:hAnsi="Century Gothic"/>
          <w:bdr w:val="none" w:sz="0" w:space="0" w:color="auto" w:frame="1"/>
        </w:rPr>
        <w:t>appeal</w:t>
      </w:r>
      <w:r w:rsidR="00BB528A">
        <w:rPr>
          <w:rFonts w:ascii="Century Gothic" w:hAnsi="Century Gothic"/>
          <w:bdr w:val="none" w:sz="0" w:space="0" w:color="auto" w:frame="1"/>
        </w:rPr>
        <w:t>s</w:t>
      </w:r>
      <w:r w:rsidR="00E85005" w:rsidRPr="00B7659F">
        <w:rPr>
          <w:rFonts w:ascii="Century Gothic" w:hAnsi="Century Gothic"/>
          <w:bdr w:val="none" w:sz="0" w:space="0" w:color="auto" w:frame="1"/>
        </w:rPr>
        <w:t xml:space="preserve"> to and maintain</w:t>
      </w:r>
      <w:r w:rsidR="00BB528A">
        <w:rPr>
          <w:rFonts w:ascii="Century Gothic" w:hAnsi="Century Gothic"/>
          <w:bdr w:val="none" w:sz="0" w:space="0" w:color="auto" w:frame="1"/>
        </w:rPr>
        <w:t>s</w:t>
      </w:r>
      <w:r w:rsidR="00E85005" w:rsidRPr="00B7659F">
        <w:rPr>
          <w:rFonts w:ascii="Century Gothic" w:hAnsi="Century Gothic"/>
          <w:bdr w:val="none" w:sz="0" w:space="0" w:color="auto" w:frame="1"/>
        </w:rPr>
        <w:t xml:space="preserve"> an influence on the souls of his</w:t>
      </w:r>
      <w:r w:rsidR="0015190C">
        <w:rPr>
          <w:rFonts w:ascii="Century Gothic" w:hAnsi="Century Gothic"/>
          <w:bdr w:val="none" w:sz="0" w:space="0" w:color="auto" w:frame="1"/>
        </w:rPr>
        <w:t xml:space="preserve"> readers.</w:t>
      </w:r>
    </w:p>
    <w:p w:rsidR="00A66B86" w:rsidRPr="00546363" w:rsidRDefault="00331DF7" w:rsidP="00546363">
      <w:pPr>
        <w:spacing w:line="360" w:lineRule="auto"/>
        <w:jc w:val="center"/>
        <w:rPr>
          <w:rFonts w:ascii="Century Gothic" w:hAnsi="Century Gothic"/>
          <w:b/>
          <w:bCs/>
          <w:lang w:bidi="ar-EG"/>
        </w:rPr>
      </w:pPr>
      <w:r w:rsidRPr="00546363">
        <w:rPr>
          <w:rFonts w:ascii="Century Gothic" w:hAnsi="Century Gothic"/>
          <w:b/>
          <w:bCs/>
        </w:rPr>
        <w:t>References and further reading</w:t>
      </w:r>
    </w:p>
    <w:p w:rsidR="00FD3FAE" w:rsidRPr="00B7659F" w:rsidRDefault="00A66B86" w:rsidP="00B7659F">
      <w:pPr>
        <w:spacing w:line="360" w:lineRule="auto"/>
        <w:rPr>
          <w:rFonts w:ascii="Century Gothic" w:hAnsi="Century Gothic"/>
        </w:rPr>
      </w:pPr>
      <w:proofErr w:type="gramStart"/>
      <w:r w:rsidRPr="00B7659F">
        <w:rPr>
          <w:rFonts w:ascii="Century Gothic" w:hAnsi="Century Gothic"/>
        </w:rPr>
        <w:t>`</w:t>
      </w:r>
      <w:proofErr w:type="spellStart"/>
      <w:r w:rsidRPr="00B7659F">
        <w:rPr>
          <w:rFonts w:ascii="Century Gothic" w:hAnsi="Century Gothic"/>
        </w:rPr>
        <w:t>Abd</w:t>
      </w:r>
      <w:proofErr w:type="spellEnd"/>
      <w:r w:rsidRPr="00B7659F">
        <w:rPr>
          <w:rFonts w:ascii="Century Gothic" w:hAnsi="Century Gothic"/>
        </w:rPr>
        <w:t xml:space="preserve"> al-Fattah, Muhammad (without date)</w:t>
      </w:r>
      <w:r w:rsidR="00FD3FAE" w:rsidRPr="00B7659F">
        <w:rPr>
          <w:rFonts w:ascii="Century Gothic" w:hAnsi="Century Gothic"/>
        </w:rPr>
        <w:t>.</w:t>
      </w:r>
      <w:proofErr w:type="gramEnd"/>
      <w:r w:rsidRPr="00B7659F">
        <w:rPr>
          <w:rFonts w:ascii="Century Gothic" w:hAnsi="Century Gothic"/>
        </w:rPr>
        <w:t xml:space="preserve"> </w:t>
      </w:r>
      <w:proofErr w:type="spellStart"/>
      <w:proofErr w:type="gramStart"/>
      <w:r w:rsidRPr="00B7659F">
        <w:rPr>
          <w:rFonts w:ascii="Century Gothic" w:hAnsi="Century Gothic"/>
          <w:i/>
          <w:iCs/>
        </w:rPr>
        <w:t>Ashhar</w:t>
      </w:r>
      <w:proofErr w:type="spellEnd"/>
      <w:r w:rsidRPr="00B7659F">
        <w:rPr>
          <w:rFonts w:ascii="Century Gothic" w:hAnsi="Century Gothic"/>
          <w:i/>
          <w:iCs/>
        </w:rPr>
        <w:t xml:space="preserve"> </w:t>
      </w:r>
      <w:proofErr w:type="spellStart"/>
      <w:r w:rsidRPr="00B7659F">
        <w:rPr>
          <w:rFonts w:ascii="Century Gothic" w:hAnsi="Century Gothic"/>
          <w:i/>
          <w:iCs/>
        </w:rPr>
        <w:t>Mashahir</w:t>
      </w:r>
      <w:proofErr w:type="spellEnd"/>
      <w:r w:rsidRPr="00B7659F">
        <w:rPr>
          <w:rFonts w:ascii="Century Gothic" w:hAnsi="Century Gothic"/>
          <w:i/>
          <w:iCs/>
        </w:rPr>
        <w:t xml:space="preserve"> </w:t>
      </w:r>
      <w:proofErr w:type="spellStart"/>
      <w:r w:rsidRPr="00B7659F">
        <w:rPr>
          <w:rFonts w:ascii="Century Gothic" w:hAnsi="Century Gothic"/>
          <w:i/>
          <w:iCs/>
        </w:rPr>
        <w:t>Udaba</w:t>
      </w:r>
      <w:proofErr w:type="spellEnd"/>
      <w:r w:rsidR="0015190C">
        <w:rPr>
          <w:rFonts w:ascii="Century Gothic" w:hAnsi="Century Gothic"/>
          <w:i/>
          <w:iCs/>
        </w:rPr>
        <w:t>’</w:t>
      </w:r>
      <w:r w:rsidRPr="00B7659F">
        <w:rPr>
          <w:rFonts w:ascii="Century Gothic" w:hAnsi="Century Gothic"/>
          <w:i/>
          <w:iCs/>
        </w:rPr>
        <w:t xml:space="preserve"> al-</w:t>
      </w:r>
      <w:proofErr w:type="spellStart"/>
      <w:r w:rsidRPr="00B7659F">
        <w:rPr>
          <w:rFonts w:ascii="Century Gothic" w:hAnsi="Century Gothic"/>
          <w:i/>
          <w:iCs/>
        </w:rPr>
        <w:t>Sharq</w:t>
      </w:r>
      <w:proofErr w:type="spellEnd"/>
      <w:r w:rsidR="00FD3FAE" w:rsidRPr="00B7659F">
        <w:rPr>
          <w:rFonts w:ascii="Century Gothic" w:hAnsi="Century Gothic"/>
        </w:rPr>
        <w:t>.</w:t>
      </w:r>
      <w:proofErr w:type="gramEnd"/>
      <w:r w:rsidRPr="00B7659F">
        <w:rPr>
          <w:rFonts w:ascii="Century Gothic" w:hAnsi="Century Gothic"/>
        </w:rPr>
        <w:t xml:space="preserve"> </w:t>
      </w:r>
      <w:proofErr w:type="gramStart"/>
      <w:r w:rsidRPr="00B7659F">
        <w:rPr>
          <w:rFonts w:ascii="Century Gothic" w:hAnsi="Century Gothic"/>
        </w:rPr>
        <w:t>Cairo</w:t>
      </w:r>
      <w:r w:rsidR="00FD3FAE" w:rsidRPr="00B7659F">
        <w:rPr>
          <w:rFonts w:ascii="Century Gothic" w:hAnsi="Century Gothic"/>
        </w:rPr>
        <w:t>, al-</w:t>
      </w:r>
      <w:proofErr w:type="spellStart"/>
      <w:r w:rsidR="00FD3FAE" w:rsidRPr="00B7659F">
        <w:rPr>
          <w:rFonts w:ascii="Century Gothic" w:hAnsi="Century Gothic"/>
        </w:rPr>
        <w:t>Maktaba</w:t>
      </w:r>
      <w:proofErr w:type="spellEnd"/>
      <w:r w:rsidR="00FD3FAE" w:rsidRPr="00B7659F">
        <w:rPr>
          <w:rFonts w:ascii="Century Gothic" w:hAnsi="Century Gothic"/>
        </w:rPr>
        <w:t xml:space="preserve"> al-</w:t>
      </w:r>
      <w:proofErr w:type="spellStart"/>
      <w:r w:rsidR="00FD3FAE" w:rsidRPr="00B7659F">
        <w:rPr>
          <w:rFonts w:ascii="Century Gothic" w:hAnsi="Century Gothic"/>
        </w:rPr>
        <w:t>Misriyya</w:t>
      </w:r>
      <w:proofErr w:type="spellEnd"/>
      <w:r w:rsidR="00FD3FAE" w:rsidRPr="00B7659F">
        <w:rPr>
          <w:rFonts w:ascii="Century Gothic" w:hAnsi="Century Gothic"/>
        </w:rPr>
        <w:t>.</w:t>
      </w:r>
      <w:proofErr w:type="gramEnd"/>
      <w:r w:rsidR="00FD3FAE" w:rsidRPr="00B7659F">
        <w:rPr>
          <w:rFonts w:ascii="Century Gothic" w:hAnsi="Century Gothic"/>
        </w:rPr>
        <w:t xml:space="preserve"> </w:t>
      </w:r>
    </w:p>
    <w:p w:rsidR="0054019B" w:rsidRPr="00B7659F" w:rsidRDefault="006676CF" w:rsidP="00546363">
      <w:pPr>
        <w:spacing w:line="360" w:lineRule="auto"/>
        <w:rPr>
          <w:rFonts w:ascii="Century Gothic" w:hAnsi="Century Gothic"/>
          <w:lang w:bidi="ar-EG"/>
        </w:rPr>
      </w:pPr>
      <w:r w:rsidRPr="00B7659F">
        <w:rPr>
          <w:rFonts w:ascii="Century Gothic" w:hAnsi="Century Gothic"/>
        </w:rPr>
        <w:t xml:space="preserve">El </w:t>
      </w:r>
      <w:proofErr w:type="spellStart"/>
      <w:r w:rsidRPr="00B7659F">
        <w:rPr>
          <w:rFonts w:ascii="Century Gothic" w:hAnsi="Century Gothic"/>
        </w:rPr>
        <w:t>Esnawi</w:t>
      </w:r>
      <w:proofErr w:type="spellEnd"/>
      <w:r w:rsidRPr="00B7659F">
        <w:rPr>
          <w:rFonts w:ascii="Century Gothic" w:hAnsi="Century Gothic"/>
        </w:rPr>
        <w:t xml:space="preserve">, </w:t>
      </w:r>
      <w:proofErr w:type="spellStart"/>
      <w:r w:rsidRPr="00B7659F">
        <w:rPr>
          <w:rFonts w:ascii="Century Gothic" w:hAnsi="Century Gothic"/>
        </w:rPr>
        <w:t>Ibtessam</w:t>
      </w:r>
      <w:proofErr w:type="spellEnd"/>
      <w:r w:rsidRPr="00B7659F">
        <w:rPr>
          <w:rFonts w:ascii="Century Gothic" w:hAnsi="Century Gothic"/>
        </w:rPr>
        <w:t xml:space="preserve"> (2008</w:t>
      </w:r>
      <w:r w:rsidR="00546363">
        <w:rPr>
          <w:rFonts w:ascii="Century Gothic" w:hAnsi="Century Gothic"/>
        </w:rPr>
        <w:t xml:space="preserve">) </w:t>
      </w:r>
      <w:r w:rsidRPr="00B7659F">
        <w:rPr>
          <w:rFonts w:ascii="Century Gothic" w:hAnsi="Century Gothic"/>
        </w:rPr>
        <w:t>“</w:t>
      </w:r>
      <w:r w:rsidRPr="00B7659F">
        <w:rPr>
          <w:rFonts w:ascii="Century Gothic" w:hAnsi="Century Gothic"/>
          <w:color w:val="333333"/>
          <w:shd w:val="clear" w:color="auto" w:fill="FFFFFF"/>
        </w:rPr>
        <w:t>Rostand and al-</w:t>
      </w:r>
      <w:proofErr w:type="spellStart"/>
      <w:r w:rsidRPr="00B7659F">
        <w:rPr>
          <w:rFonts w:ascii="Century Gothic" w:hAnsi="Century Gothic"/>
          <w:color w:val="333333"/>
          <w:shd w:val="clear" w:color="auto" w:fill="FFFFFF"/>
        </w:rPr>
        <w:t>Manfaluti</w:t>
      </w:r>
      <w:proofErr w:type="spellEnd"/>
      <w:r w:rsidRPr="00B7659F">
        <w:rPr>
          <w:rFonts w:ascii="Century Gothic" w:hAnsi="Century Gothic"/>
          <w:color w:val="333333"/>
          <w:shd w:val="clear" w:color="auto" w:fill="FFFFFF"/>
        </w:rPr>
        <w:t>: Between Historical Invocation and Artistic Adaptation</w:t>
      </w:r>
      <w:r w:rsidR="00546363">
        <w:rPr>
          <w:rFonts w:ascii="Century Gothic" w:hAnsi="Century Gothic"/>
          <w:color w:val="333333"/>
          <w:shd w:val="clear" w:color="auto" w:fill="FFFFFF"/>
        </w:rPr>
        <w:t>.</w:t>
      </w:r>
      <w:r w:rsidRPr="00B7659F">
        <w:rPr>
          <w:rFonts w:ascii="Century Gothic" w:hAnsi="Century Gothic"/>
        </w:rPr>
        <w:t xml:space="preserve">” </w:t>
      </w:r>
      <w:r w:rsidRPr="00B7659F">
        <w:rPr>
          <w:rFonts w:ascii="Century Gothic" w:hAnsi="Century Gothic"/>
          <w:i/>
          <w:iCs/>
        </w:rPr>
        <w:t>Journal of Comparative Poetics</w:t>
      </w:r>
      <w:r w:rsidRPr="00B7659F">
        <w:rPr>
          <w:rFonts w:ascii="Century Gothic" w:hAnsi="Century Gothic"/>
        </w:rPr>
        <w:t>, No. 28, Artistic Adaptations: Approaches and Positions</w:t>
      </w:r>
      <w:r w:rsidR="00546363">
        <w:rPr>
          <w:rFonts w:ascii="Century Gothic" w:hAnsi="Century Gothic"/>
        </w:rPr>
        <w:t>,</w:t>
      </w:r>
      <w:r w:rsidRPr="00B7659F">
        <w:rPr>
          <w:rFonts w:ascii="Century Gothic" w:hAnsi="Century Gothic"/>
        </w:rPr>
        <w:t xml:space="preserve"> </w:t>
      </w:r>
      <w:r w:rsidR="00546363">
        <w:rPr>
          <w:rFonts w:ascii="Century Gothic" w:hAnsi="Century Gothic"/>
        </w:rPr>
        <w:t>p</w:t>
      </w:r>
      <w:r w:rsidRPr="00B7659F">
        <w:rPr>
          <w:rFonts w:ascii="Century Gothic" w:hAnsi="Century Gothic"/>
        </w:rPr>
        <w:t xml:space="preserve">p. 98-114.  </w:t>
      </w:r>
    </w:p>
    <w:p w:rsidR="00C23E28" w:rsidRDefault="00C23E28" w:rsidP="0015190C">
      <w:pPr>
        <w:shd w:val="clear" w:color="auto" w:fill="FFFFFF"/>
        <w:spacing w:line="360" w:lineRule="auto"/>
        <w:rPr>
          <w:rFonts w:ascii="Century Gothic" w:hAnsi="Century Gothic"/>
        </w:rPr>
      </w:pPr>
      <w:r w:rsidRPr="00B7659F">
        <w:rPr>
          <w:rFonts w:ascii="Century Gothic" w:hAnsi="Century Gothic"/>
        </w:rPr>
        <w:t>Gibb, H. A. R. (1962), “Al-</w:t>
      </w:r>
      <w:proofErr w:type="spellStart"/>
      <w:r w:rsidRPr="00B7659F">
        <w:rPr>
          <w:rFonts w:ascii="Century Gothic" w:hAnsi="Century Gothic"/>
        </w:rPr>
        <w:t>Manfalū</w:t>
      </w:r>
      <w:r w:rsidRPr="00B7659F">
        <w:rPr>
          <w:rFonts w:ascii="Arial" w:hAnsi="Arial" w:cs="Arial"/>
        </w:rPr>
        <w:t>ṭ</w:t>
      </w:r>
      <w:r w:rsidRPr="00B7659F">
        <w:rPr>
          <w:rFonts w:ascii="Century Gothic" w:hAnsi="Century Gothic"/>
        </w:rPr>
        <w:t>ī</w:t>
      </w:r>
      <w:proofErr w:type="spellEnd"/>
      <w:r w:rsidRPr="00B7659F">
        <w:rPr>
          <w:rFonts w:ascii="Century Gothic" w:hAnsi="Century Gothic"/>
        </w:rPr>
        <w:t xml:space="preserve"> and the New Style</w:t>
      </w:r>
      <w:r w:rsidR="0015190C">
        <w:rPr>
          <w:rFonts w:ascii="Century Gothic" w:hAnsi="Century Gothic"/>
        </w:rPr>
        <w:t>,</w:t>
      </w:r>
      <w:proofErr w:type="gramStart"/>
      <w:r w:rsidR="0015190C">
        <w:rPr>
          <w:rFonts w:ascii="Century Gothic" w:hAnsi="Century Gothic"/>
        </w:rPr>
        <w:t>”</w:t>
      </w:r>
      <w:r w:rsidRPr="00B7659F">
        <w:rPr>
          <w:rFonts w:ascii="Century Gothic" w:hAnsi="Century Gothic"/>
        </w:rPr>
        <w:t xml:space="preserve">  in</w:t>
      </w:r>
      <w:proofErr w:type="gramEnd"/>
      <w:r w:rsidRPr="00B7659F">
        <w:rPr>
          <w:rFonts w:ascii="Century Gothic" w:hAnsi="Century Gothic"/>
        </w:rPr>
        <w:t xml:space="preserve"> </w:t>
      </w:r>
      <w:r w:rsidRPr="00B7659F">
        <w:rPr>
          <w:rFonts w:ascii="Century Gothic" w:hAnsi="Century Gothic"/>
          <w:i/>
          <w:iCs/>
        </w:rPr>
        <w:t>Studies in the Civilization of Islam</w:t>
      </w:r>
      <w:r w:rsidRPr="00B7659F">
        <w:rPr>
          <w:rFonts w:ascii="Century Gothic" w:hAnsi="Century Gothic"/>
        </w:rPr>
        <w:t>, ed. S. J. Shaw and W. R. Polk, London pp. 258-268.</w:t>
      </w:r>
    </w:p>
    <w:p w:rsidR="00546363" w:rsidRPr="00546363" w:rsidRDefault="00546363" w:rsidP="00546363">
      <w:pPr>
        <w:shd w:val="clear" w:color="auto" w:fill="FFFFFF"/>
        <w:spacing w:line="360" w:lineRule="auto"/>
        <w:rPr>
          <w:rFonts w:ascii="Century Gothic" w:eastAsia="Times New Roman" w:hAnsi="Century Gothic" w:cs="Arial"/>
          <w:color w:val="222222"/>
        </w:rPr>
      </w:pPr>
      <w:proofErr w:type="gramStart"/>
      <w:r w:rsidRPr="00B7659F">
        <w:rPr>
          <w:rFonts w:ascii="Century Gothic" w:hAnsi="Century Gothic"/>
          <w:color w:val="333333"/>
          <w:shd w:val="clear" w:color="auto" w:fill="FFFFFF"/>
        </w:rPr>
        <w:t>------------  (</w:t>
      </w:r>
      <w:proofErr w:type="gramEnd"/>
      <w:r w:rsidRPr="00B7659F">
        <w:rPr>
          <w:rFonts w:ascii="Century Gothic" w:hAnsi="Century Gothic"/>
          <w:color w:val="333333"/>
          <w:shd w:val="clear" w:color="auto" w:fill="FFFFFF"/>
        </w:rPr>
        <w:t xml:space="preserve">1929)“Studies in Contemporary Arabic Literature: II. </w:t>
      </w:r>
      <w:proofErr w:type="spellStart"/>
      <w:proofErr w:type="gramStart"/>
      <w:r w:rsidRPr="00B7659F">
        <w:rPr>
          <w:rFonts w:ascii="Century Gothic" w:hAnsi="Century Gothic"/>
          <w:color w:val="333333"/>
          <w:shd w:val="clear" w:color="auto" w:fill="FFFFFF"/>
        </w:rPr>
        <w:t>Manfalū</w:t>
      </w:r>
      <w:r w:rsidRPr="00B7659F">
        <w:rPr>
          <w:rFonts w:ascii="Arial" w:hAnsi="Arial" w:cs="Arial"/>
          <w:color w:val="333333"/>
          <w:shd w:val="clear" w:color="auto" w:fill="FFFFFF"/>
        </w:rPr>
        <w:t>ṭ</w:t>
      </w:r>
      <w:r w:rsidRPr="00B7659F">
        <w:rPr>
          <w:rFonts w:ascii="Century Gothic" w:hAnsi="Century Gothic"/>
          <w:color w:val="333333"/>
          <w:shd w:val="clear" w:color="auto" w:fill="FFFFFF"/>
        </w:rPr>
        <w:t>ī</w:t>
      </w:r>
      <w:proofErr w:type="spellEnd"/>
      <w:r w:rsidRPr="00B7659F">
        <w:rPr>
          <w:rFonts w:ascii="Century Gothic" w:hAnsi="Century Gothic"/>
          <w:color w:val="333333"/>
          <w:shd w:val="clear" w:color="auto" w:fill="FFFFFF"/>
        </w:rPr>
        <w:t xml:space="preserve"> and the "New Style."</w:t>
      </w:r>
      <w:proofErr w:type="gramEnd"/>
      <w:r w:rsidRPr="00B7659F">
        <w:rPr>
          <w:rStyle w:val="Heading1Char"/>
          <w:rFonts w:ascii="Century Gothic" w:eastAsiaTheme="minorHAnsi" w:hAnsi="Century Gothic" w:cs="Arial"/>
          <w:color w:val="222222"/>
          <w:sz w:val="22"/>
          <w:szCs w:val="22"/>
        </w:rPr>
        <w:t xml:space="preserve"> </w:t>
      </w:r>
      <w:proofErr w:type="gramStart"/>
      <w:r w:rsidRPr="00B7659F">
        <w:rPr>
          <w:rFonts w:ascii="Century Gothic" w:eastAsia="Times New Roman" w:hAnsi="Century Gothic" w:cs="Arial"/>
          <w:i/>
          <w:iCs/>
          <w:color w:val="222222"/>
        </w:rPr>
        <w:t>Bulletin of the School of Oriental Studies, University of London</w:t>
      </w:r>
      <w:r w:rsidRPr="00B7659F">
        <w:rPr>
          <w:rFonts w:ascii="Century Gothic" w:eastAsia="Times New Roman" w:hAnsi="Century Gothic" w:cs="Arial"/>
          <w:color w:val="222222"/>
        </w:rPr>
        <w:t>.</w:t>
      </w:r>
      <w:proofErr w:type="gramEnd"/>
      <w:r w:rsidRPr="00B7659F">
        <w:rPr>
          <w:rFonts w:ascii="Century Gothic" w:eastAsia="Times New Roman" w:hAnsi="Century Gothic" w:cs="Arial"/>
          <w:color w:val="222222"/>
        </w:rPr>
        <w:t xml:space="preserve"> Vol. 5, No. 2 (1929), pp. 311-322</w:t>
      </w:r>
      <w:r>
        <w:rPr>
          <w:rFonts w:ascii="Century Gothic" w:eastAsia="Times New Roman" w:hAnsi="Century Gothic" w:cs="Arial"/>
          <w:color w:val="222222"/>
        </w:rPr>
        <w:t>.</w:t>
      </w:r>
    </w:p>
    <w:p w:rsidR="00546363" w:rsidRPr="00546363" w:rsidRDefault="00546363" w:rsidP="00546363">
      <w:pPr>
        <w:spacing w:line="360" w:lineRule="auto"/>
        <w:rPr>
          <w:rFonts w:ascii="Century Gothic" w:hAnsi="Century Gothic" w:cs="Arial"/>
          <w:color w:val="222222"/>
          <w:shd w:val="clear" w:color="auto" w:fill="FFFFFF"/>
        </w:rPr>
      </w:pPr>
      <w:proofErr w:type="spellStart"/>
      <w:r w:rsidRPr="00B7659F">
        <w:rPr>
          <w:rFonts w:ascii="Century Gothic" w:hAnsi="Century Gothic" w:cs="Arial"/>
          <w:color w:val="222222"/>
          <w:shd w:val="clear" w:color="auto" w:fill="FFFFFF"/>
        </w:rPr>
        <w:t>Hallaq</w:t>
      </w:r>
      <w:proofErr w:type="spellEnd"/>
      <w:r w:rsidRPr="00B7659F">
        <w:rPr>
          <w:rFonts w:ascii="Century Gothic" w:hAnsi="Century Gothic" w:cs="Arial"/>
          <w:color w:val="222222"/>
          <w:shd w:val="clear" w:color="auto" w:fill="FFFFFF"/>
        </w:rPr>
        <w:t xml:space="preserve">, B. (2003). “La </w:t>
      </w:r>
      <w:proofErr w:type="spellStart"/>
      <w:r w:rsidRPr="00B7659F">
        <w:rPr>
          <w:rFonts w:ascii="Century Gothic" w:hAnsi="Century Gothic" w:cs="Arial"/>
          <w:color w:val="222222"/>
          <w:shd w:val="clear" w:color="auto" w:fill="FFFFFF"/>
        </w:rPr>
        <w:t>littérature</w:t>
      </w:r>
      <w:proofErr w:type="spellEnd"/>
      <w:r w:rsidRPr="00B7659F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proofErr w:type="spellStart"/>
      <w:r w:rsidRPr="00B7659F">
        <w:rPr>
          <w:rFonts w:ascii="Century Gothic" w:hAnsi="Century Gothic" w:cs="Arial"/>
          <w:color w:val="222222"/>
          <w:shd w:val="clear" w:color="auto" w:fill="FFFFFF"/>
        </w:rPr>
        <w:t>selon</w:t>
      </w:r>
      <w:proofErr w:type="spellEnd"/>
      <w:r w:rsidRPr="00B7659F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proofErr w:type="spellStart"/>
      <w:r w:rsidRPr="00B7659F">
        <w:rPr>
          <w:rFonts w:ascii="Century Gothic" w:hAnsi="Century Gothic" w:cs="Arial"/>
          <w:color w:val="222222"/>
          <w:shd w:val="clear" w:color="auto" w:fill="FFFFFF"/>
        </w:rPr>
        <w:t>Manfalū</w:t>
      </w:r>
      <w:r w:rsidRPr="00B7659F">
        <w:rPr>
          <w:rFonts w:ascii="Arial" w:hAnsi="Arial" w:cs="Arial"/>
          <w:color w:val="222222"/>
          <w:shd w:val="clear" w:color="auto" w:fill="FFFFFF"/>
        </w:rPr>
        <w:t>ṭ</w:t>
      </w:r>
      <w:r w:rsidRPr="00B7659F">
        <w:rPr>
          <w:rFonts w:ascii="Century Gothic" w:hAnsi="Century Gothic" w:cs="Arial"/>
          <w:color w:val="222222"/>
          <w:shd w:val="clear" w:color="auto" w:fill="FFFFFF"/>
        </w:rPr>
        <w:t>ī</w:t>
      </w:r>
      <w:proofErr w:type="spellEnd"/>
      <w:r w:rsidRPr="00B7659F">
        <w:rPr>
          <w:rFonts w:ascii="Century Gothic" w:hAnsi="Century Gothic" w:cs="Arial"/>
          <w:color w:val="222222"/>
          <w:shd w:val="clear" w:color="auto" w:fill="FFFFFF"/>
        </w:rPr>
        <w:t>.”</w:t>
      </w:r>
      <w:r w:rsidRPr="00B7659F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B7659F">
        <w:rPr>
          <w:rFonts w:ascii="Century Gothic" w:hAnsi="Century Gothic" w:cs="Arial"/>
          <w:i/>
          <w:iCs/>
          <w:color w:val="222222"/>
          <w:shd w:val="clear" w:color="auto" w:fill="FFFFFF"/>
        </w:rPr>
        <w:t>Arabica</w:t>
      </w:r>
      <w:r w:rsidRPr="00B7659F">
        <w:rPr>
          <w:rFonts w:ascii="Century Gothic" w:hAnsi="Century Gothic" w:cs="Arial"/>
          <w:color w:val="222222"/>
          <w:shd w:val="clear" w:color="auto" w:fill="FFFFFF"/>
        </w:rPr>
        <w:t xml:space="preserve">, </w:t>
      </w:r>
      <w:r>
        <w:rPr>
          <w:rFonts w:ascii="Century Gothic" w:hAnsi="Century Gothic" w:cs="Arial"/>
          <w:color w:val="222222"/>
          <w:shd w:val="clear" w:color="auto" w:fill="FFFFFF"/>
        </w:rPr>
        <w:t xml:space="preserve">pp. </w:t>
      </w:r>
      <w:r w:rsidRPr="00B7659F">
        <w:rPr>
          <w:rFonts w:ascii="Century Gothic" w:hAnsi="Century Gothic" w:cs="Arial"/>
          <w:color w:val="222222"/>
          <w:shd w:val="clear" w:color="auto" w:fill="FFFFFF"/>
        </w:rPr>
        <w:t>131-176.</w:t>
      </w:r>
    </w:p>
    <w:p w:rsidR="00546363" w:rsidRPr="00546363" w:rsidRDefault="00546363" w:rsidP="00546363">
      <w:pPr>
        <w:shd w:val="clear" w:color="auto" w:fill="FFFFFF"/>
        <w:spacing w:line="360" w:lineRule="auto"/>
        <w:rPr>
          <w:rFonts w:ascii="Century Gothic" w:eastAsia="Times New Roman" w:hAnsi="Century Gothic" w:cs="Arial"/>
          <w:color w:val="222222"/>
        </w:rPr>
      </w:pPr>
      <w:proofErr w:type="spellStart"/>
      <w:r w:rsidRPr="00B7659F">
        <w:rPr>
          <w:rFonts w:ascii="Century Gothic" w:hAnsi="Century Gothic"/>
        </w:rPr>
        <w:t>Peled</w:t>
      </w:r>
      <w:proofErr w:type="spellEnd"/>
      <w:r w:rsidRPr="00B7659F">
        <w:rPr>
          <w:rFonts w:ascii="Century Gothic" w:hAnsi="Century Gothic"/>
        </w:rPr>
        <w:t xml:space="preserve">, M. </w:t>
      </w:r>
      <w:r>
        <w:rPr>
          <w:rFonts w:ascii="Century Gothic" w:hAnsi="Century Gothic"/>
        </w:rPr>
        <w:t>(</w:t>
      </w:r>
      <w:r w:rsidRPr="00B7659F">
        <w:rPr>
          <w:rFonts w:ascii="Century Gothic" w:hAnsi="Century Gothic"/>
        </w:rPr>
        <w:t>1991</w:t>
      </w:r>
      <w:r>
        <w:rPr>
          <w:rFonts w:ascii="Century Gothic" w:hAnsi="Century Gothic"/>
        </w:rPr>
        <w:t>)</w:t>
      </w:r>
      <w:r w:rsidRPr="00B7659F">
        <w:rPr>
          <w:rFonts w:ascii="Century Gothic" w:hAnsi="Century Gothic"/>
        </w:rPr>
        <w:t xml:space="preserve"> “</w:t>
      </w:r>
      <w:r w:rsidRPr="00B7659F">
        <w:rPr>
          <w:rFonts w:ascii="Century Gothic" w:hAnsi="Century Gothic"/>
          <w:color w:val="333333"/>
          <w:shd w:val="clear" w:color="auto" w:fill="FFFFFF"/>
        </w:rPr>
        <w:t>Did al-</w:t>
      </w:r>
      <w:proofErr w:type="spellStart"/>
      <w:r w:rsidRPr="00B7659F">
        <w:rPr>
          <w:rFonts w:ascii="Century Gothic" w:hAnsi="Century Gothic"/>
          <w:color w:val="333333"/>
          <w:shd w:val="clear" w:color="auto" w:fill="FFFFFF"/>
        </w:rPr>
        <w:t>Manfalū</w:t>
      </w:r>
      <w:r w:rsidRPr="00B7659F">
        <w:rPr>
          <w:rFonts w:ascii="Arial" w:hAnsi="Arial" w:cs="Arial"/>
          <w:color w:val="333333"/>
          <w:shd w:val="clear" w:color="auto" w:fill="FFFFFF"/>
        </w:rPr>
        <w:t>ṭ</w:t>
      </w:r>
      <w:r w:rsidRPr="00B7659F">
        <w:rPr>
          <w:rFonts w:ascii="Century Gothic" w:hAnsi="Century Gothic"/>
          <w:color w:val="333333"/>
          <w:shd w:val="clear" w:color="auto" w:fill="FFFFFF"/>
        </w:rPr>
        <w:t>ī</w:t>
      </w:r>
      <w:proofErr w:type="spellEnd"/>
      <w:r w:rsidRPr="00B7659F">
        <w:rPr>
          <w:rFonts w:ascii="Century Gothic" w:hAnsi="Century Gothic"/>
          <w:color w:val="333333"/>
          <w:shd w:val="clear" w:color="auto" w:fill="FFFFFF"/>
        </w:rPr>
        <w:t xml:space="preserve"> Really Shed Tears for His Protagonist?</w:t>
      </w:r>
      <w:r w:rsidRPr="00B7659F">
        <w:rPr>
          <w:rFonts w:ascii="Century Gothic" w:hAnsi="Century Gothic"/>
        </w:rPr>
        <w:t xml:space="preserve">” </w:t>
      </w:r>
      <w:proofErr w:type="gramStart"/>
      <w:r w:rsidRPr="00B7659F">
        <w:rPr>
          <w:rFonts w:ascii="Century Gothic" w:eastAsia="Times New Roman" w:hAnsi="Century Gothic" w:cs="Arial"/>
          <w:i/>
          <w:iCs/>
          <w:color w:val="222222"/>
        </w:rPr>
        <w:t>Arabica</w:t>
      </w:r>
      <w:r w:rsidRPr="00B7659F">
        <w:rPr>
          <w:rFonts w:ascii="Century Gothic" w:eastAsia="Times New Roman" w:hAnsi="Century Gothic" w:cs="Arial"/>
          <w:color w:val="222222"/>
        </w:rPr>
        <w:t xml:space="preserve"> T. 38, Fasc. 1 (Mar., 1991), pp. 57-72.</w:t>
      </w:r>
      <w:proofErr w:type="gramEnd"/>
    </w:p>
    <w:p w:rsidR="00A66B86" w:rsidRPr="00B7659F" w:rsidRDefault="00A66B86" w:rsidP="00B7659F">
      <w:pPr>
        <w:shd w:val="clear" w:color="auto" w:fill="FFFFFF"/>
        <w:spacing w:line="360" w:lineRule="auto"/>
        <w:rPr>
          <w:rFonts w:ascii="Century Gothic" w:eastAsia="Times New Roman" w:hAnsi="Century Gothic" w:cs="Arial"/>
          <w:color w:val="222222"/>
        </w:rPr>
      </w:pPr>
      <w:proofErr w:type="spellStart"/>
      <w:r w:rsidRPr="00B7659F">
        <w:rPr>
          <w:rFonts w:ascii="Century Gothic" w:eastAsia="Times New Roman" w:hAnsi="Century Gothic" w:cs="Arial"/>
          <w:color w:val="222222"/>
        </w:rPr>
        <w:t>Zayyat</w:t>
      </w:r>
      <w:proofErr w:type="spellEnd"/>
      <w:r w:rsidRPr="00B7659F">
        <w:rPr>
          <w:rFonts w:ascii="Century Gothic" w:eastAsia="Times New Roman" w:hAnsi="Century Gothic" w:cs="Arial"/>
          <w:color w:val="222222"/>
        </w:rPr>
        <w:t xml:space="preserve">, al, Ahmad Hasan (without date), </w:t>
      </w:r>
      <w:proofErr w:type="spellStart"/>
      <w:r w:rsidRPr="00B7659F">
        <w:rPr>
          <w:rFonts w:ascii="Century Gothic" w:eastAsia="Times New Roman" w:hAnsi="Century Gothic" w:cs="Arial"/>
          <w:i/>
          <w:iCs/>
          <w:color w:val="222222"/>
        </w:rPr>
        <w:t>Tarikh</w:t>
      </w:r>
      <w:proofErr w:type="spellEnd"/>
      <w:r w:rsidRPr="00B7659F">
        <w:rPr>
          <w:rFonts w:ascii="Century Gothic" w:eastAsia="Times New Roman" w:hAnsi="Century Gothic" w:cs="Arial"/>
          <w:i/>
          <w:iCs/>
          <w:color w:val="222222"/>
        </w:rPr>
        <w:t xml:space="preserve"> al-</w:t>
      </w:r>
      <w:proofErr w:type="spellStart"/>
      <w:r w:rsidRPr="00B7659F">
        <w:rPr>
          <w:rFonts w:ascii="Century Gothic" w:eastAsia="Times New Roman" w:hAnsi="Century Gothic" w:cs="Arial"/>
          <w:i/>
          <w:iCs/>
          <w:color w:val="222222"/>
        </w:rPr>
        <w:t>Adab</w:t>
      </w:r>
      <w:proofErr w:type="spellEnd"/>
      <w:r w:rsidRPr="00B7659F">
        <w:rPr>
          <w:rFonts w:ascii="Century Gothic" w:eastAsia="Times New Roman" w:hAnsi="Century Gothic" w:cs="Arial"/>
          <w:i/>
          <w:iCs/>
          <w:color w:val="222222"/>
        </w:rPr>
        <w:t xml:space="preserve"> al-`</w:t>
      </w:r>
      <w:proofErr w:type="spellStart"/>
      <w:r w:rsidRPr="00B7659F">
        <w:rPr>
          <w:rFonts w:ascii="Century Gothic" w:eastAsia="Times New Roman" w:hAnsi="Century Gothic" w:cs="Arial"/>
          <w:i/>
          <w:iCs/>
          <w:color w:val="222222"/>
        </w:rPr>
        <w:t>Arabi</w:t>
      </w:r>
      <w:proofErr w:type="spellEnd"/>
      <w:r w:rsidRPr="00B7659F">
        <w:rPr>
          <w:rFonts w:ascii="Century Gothic" w:eastAsia="Times New Roman" w:hAnsi="Century Gothic" w:cs="Arial"/>
          <w:color w:val="222222"/>
        </w:rPr>
        <w:t xml:space="preserve">, Cairo, Dar </w:t>
      </w:r>
      <w:proofErr w:type="spellStart"/>
      <w:r w:rsidRPr="00B7659F">
        <w:rPr>
          <w:rFonts w:ascii="Century Gothic" w:eastAsia="Times New Roman" w:hAnsi="Century Gothic" w:cs="Arial"/>
          <w:color w:val="222222"/>
        </w:rPr>
        <w:t>Nahdat</w:t>
      </w:r>
      <w:proofErr w:type="spellEnd"/>
      <w:r w:rsidRPr="00B7659F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B7659F">
        <w:rPr>
          <w:rFonts w:ascii="Century Gothic" w:eastAsia="Times New Roman" w:hAnsi="Century Gothic" w:cs="Arial"/>
          <w:color w:val="222222"/>
        </w:rPr>
        <w:t>Misr</w:t>
      </w:r>
      <w:proofErr w:type="spellEnd"/>
      <w:r w:rsidRPr="00B7659F">
        <w:rPr>
          <w:rFonts w:ascii="Century Gothic" w:eastAsia="Times New Roman" w:hAnsi="Century Gothic" w:cs="Arial"/>
          <w:color w:val="222222"/>
        </w:rPr>
        <w:t xml:space="preserve"> li al-</w:t>
      </w:r>
      <w:proofErr w:type="spellStart"/>
      <w:r w:rsidRPr="00B7659F">
        <w:rPr>
          <w:rFonts w:ascii="Century Gothic" w:eastAsia="Times New Roman" w:hAnsi="Century Gothic" w:cs="Arial"/>
          <w:color w:val="222222"/>
        </w:rPr>
        <w:t>Tiba`ah</w:t>
      </w:r>
      <w:proofErr w:type="spellEnd"/>
      <w:r w:rsidRPr="00B7659F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proofErr w:type="gramStart"/>
      <w:r w:rsidRPr="00B7659F">
        <w:rPr>
          <w:rFonts w:ascii="Century Gothic" w:eastAsia="Times New Roman" w:hAnsi="Century Gothic" w:cs="Arial"/>
          <w:color w:val="222222"/>
        </w:rPr>
        <w:t>wa</w:t>
      </w:r>
      <w:proofErr w:type="spellEnd"/>
      <w:proofErr w:type="gramEnd"/>
      <w:r w:rsidRPr="00B7659F">
        <w:rPr>
          <w:rFonts w:ascii="Century Gothic" w:eastAsia="Times New Roman" w:hAnsi="Century Gothic" w:cs="Arial"/>
          <w:color w:val="222222"/>
        </w:rPr>
        <w:t xml:space="preserve"> al-</w:t>
      </w:r>
      <w:proofErr w:type="spellStart"/>
      <w:r w:rsidRPr="00B7659F">
        <w:rPr>
          <w:rFonts w:ascii="Century Gothic" w:eastAsia="Times New Roman" w:hAnsi="Century Gothic" w:cs="Arial"/>
          <w:color w:val="222222"/>
        </w:rPr>
        <w:t>Nashr</w:t>
      </w:r>
      <w:proofErr w:type="spellEnd"/>
      <w:r w:rsidRPr="00B7659F">
        <w:rPr>
          <w:rFonts w:ascii="Century Gothic" w:eastAsia="Times New Roman" w:hAnsi="Century Gothic" w:cs="Arial"/>
          <w:color w:val="222222"/>
        </w:rPr>
        <w:t xml:space="preserve">. </w:t>
      </w:r>
    </w:p>
    <w:p w:rsidR="00B615A5" w:rsidRPr="00B7659F" w:rsidRDefault="00B615A5" w:rsidP="00B7659F">
      <w:pPr>
        <w:shd w:val="clear" w:color="auto" w:fill="FFFFFF"/>
        <w:spacing w:line="360" w:lineRule="auto"/>
        <w:rPr>
          <w:rFonts w:ascii="Century Gothic" w:eastAsia="Times New Roman" w:hAnsi="Century Gothic" w:cs="Arial"/>
          <w:color w:val="222222"/>
        </w:rPr>
      </w:pPr>
    </w:p>
    <w:p w:rsidR="0054019B" w:rsidRPr="00B7659F" w:rsidRDefault="0054019B" w:rsidP="00B7659F">
      <w:pPr>
        <w:spacing w:line="360" w:lineRule="auto"/>
        <w:rPr>
          <w:rFonts w:ascii="Century Gothic" w:hAnsi="Century Gothic"/>
          <w:lang w:bidi="ar-EG"/>
        </w:rPr>
      </w:pPr>
    </w:p>
    <w:sectPr w:rsidR="0054019B" w:rsidRPr="00B765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5"/>
    <w:rsid w:val="000000A9"/>
    <w:rsid w:val="0000530D"/>
    <w:rsid w:val="000122D2"/>
    <w:rsid w:val="000158F1"/>
    <w:rsid w:val="000158F6"/>
    <w:rsid w:val="00020E6A"/>
    <w:rsid w:val="0002114B"/>
    <w:rsid w:val="000234C9"/>
    <w:rsid w:val="00025560"/>
    <w:rsid w:val="000262D6"/>
    <w:rsid w:val="00027A93"/>
    <w:rsid w:val="00030314"/>
    <w:rsid w:val="00032B77"/>
    <w:rsid w:val="0004017F"/>
    <w:rsid w:val="00041798"/>
    <w:rsid w:val="00043F05"/>
    <w:rsid w:val="00047F45"/>
    <w:rsid w:val="00055548"/>
    <w:rsid w:val="00056B0D"/>
    <w:rsid w:val="00061166"/>
    <w:rsid w:val="00073B6F"/>
    <w:rsid w:val="00073E8E"/>
    <w:rsid w:val="00081F2F"/>
    <w:rsid w:val="00082FB2"/>
    <w:rsid w:val="000859F4"/>
    <w:rsid w:val="00087477"/>
    <w:rsid w:val="00093225"/>
    <w:rsid w:val="000A3A57"/>
    <w:rsid w:val="000A648E"/>
    <w:rsid w:val="000B10A0"/>
    <w:rsid w:val="000B4FB3"/>
    <w:rsid w:val="000C2EDD"/>
    <w:rsid w:val="000C3956"/>
    <w:rsid w:val="000C4043"/>
    <w:rsid w:val="000C517F"/>
    <w:rsid w:val="000D0C55"/>
    <w:rsid w:val="000D2033"/>
    <w:rsid w:val="000D32CB"/>
    <w:rsid w:val="000D7E48"/>
    <w:rsid w:val="000E22F6"/>
    <w:rsid w:val="000F0EC2"/>
    <w:rsid w:val="000F2B72"/>
    <w:rsid w:val="00104D16"/>
    <w:rsid w:val="00104D33"/>
    <w:rsid w:val="00105C35"/>
    <w:rsid w:val="0011052A"/>
    <w:rsid w:val="00110E33"/>
    <w:rsid w:val="00111D6B"/>
    <w:rsid w:val="0011273C"/>
    <w:rsid w:val="00113C96"/>
    <w:rsid w:val="00120A2D"/>
    <w:rsid w:val="00123352"/>
    <w:rsid w:val="0013622F"/>
    <w:rsid w:val="00150453"/>
    <w:rsid w:val="0015190C"/>
    <w:rsid w:val="00163E0E"/>
    <w:rsid w:val="00166853"/>
    <w:rsid w:val="00166C21"/>
    <w:rsid w:val="00166D1C"/>
    <w:rsid w:val="00173A70"/>
    <w:rsid w:val="00173FC1"/>
    <w:rsid w:val="00177BC2"/>
    <w:rsid w:val="001824A3"/>
    <w:rsid w:val="001852E4"/>
    <w:rsid w:val="00193D12"/>
    <w:rsid w:val="001A094A"/>
    <w:rsid w:val="001A1AD5"/>
    <w:rsid w:val="001A3AAC"/>
    <w:rsid w:val="001A4268"/>
    <w:rsid w:val="001A7C70"/>
    <w:rsid w:val="001B7C94"/>
    <w:rsid w:val="001C14FF"/>
    <w:rsid w:val="001C32F4"/>
    <w:rsid w:val="001C6412"/>
    <w:rsid w:val="001D163D"/>
    <w:rsid w:val="001D4E5A"/>
    <w:rsid w:val="001D742F"/>
    <w:rsid w:val="001E14E5"/>
    <w:rsid w:val="001E2C00"/>
    <w:rsid w:val="001E3635"/>
    <w:rsid w:val="001E3673"/>
    <w:rsid w:val="001E5D68"/>
    <w:rsid w:val="001E6D6C"/>
    <w:rsid w:val="001F3D91"/>
    <w:rsid w:val="0020415D"/>
    <w:rsid w:val="00206BA2"/>
    <w:rsid w:val="00212808"/>
    <w:rsid w:val="00217E36"/>
    <w:rsid w:val="00220EEF"/>
    <w:rsid w:val="0022218E"/>
    <w:rsid w:val="0022501A"/>
    <w:rsid w:val="00225776"/>
    <w:rsid w:val="0022608F"/>
    <w:rsid w:val="00233460"/>
    <w:rsid w:val="002339D5"/>
    <w:rsid w:val="00246B90"/>
    <w:rsid w:val="00247117"/>
    <w:rsid w:val="00251BAB"/>
    <w:rsid w:val="002521E8"/>
    <w:rsid w:val="002573E7"/>
    <w:rsid w:val="00260885"/>
    <w:rsid w:val="002647CC"/>
    <w:rsid w:val="002672D2"/>
    <w:rsid w:val="0026738D"/>
    <w:rsid w:val="00271748"/>
    <w:rsid w:val="00272D27"/>
    <w:rsid w:val="002850E6"/>
    <w:rsid w:val="0028717F"/>
    <w:rsid w:val="002A249B"/>
    <w:rsid w:val="002A3F8F"/>
    <w:rsid w:val="002B3811"/>
    <w:rsid w:val="002B70F9"/>
    <w:rsid w:val="002C1D5E"/>
    <w:rsid w:val="002C356A"/>
    <w:rsid w:val="002C4183"/>
    <w:rsid w:val="002C6EC9"/>
    <w:rsid w:val="002D0544"/>
    <w:rsid w:val="002D096C"/>
    <w:rsid w:val="002D09CA"/>
    <w:rsid w:val="002D0A08"/>
    <w:rsid w:val="002D19D2"/>
    <w:rsid w:val="002D2D4D"/>
    <w:rsid w:val="002E4ED7"/>
    <w:rsid w:val="002E7912"/>
    <w:rsid w:val="00303A0D"/>
    <w:rsid w:val="003058E1"/>
    <w:rsid w:val="00310258"/>
    <w:rsid w:val="00313C22"/>
    <w:rsid w:val="00314A1D"/>
    <w:rsid w:val="00320728"/>
    <w:rsid w:val="00331DF7"/>
    <w:rsid w:val="003320D4"/>
    <w:rsid w:val="00334C62"/>
    <w:rsid w:val="00343560"/>
    <w:rsid w:val="003437F2"/>
    <w:rsid w:val="00345FD7"/>
    <w:rsid w:val="00350595"/>
    <w:rsid w:val="00351100"/>
    <w:rsid w:val="0035426F"/>
    <w:rsid w:val="00357AE4"/>
    <w:rsid w:val="00360E37"/>
    <w:rsid w:val="0037022E"/>
    <w:rsid w:val="00383B11"/>
    <w:rsid w:val="00385070"/>
    <w:rsid w:val="00385800"/>
    <w:rsid w:val="0039523E"/>
    <w:rsid w:val="003A5C1D"/>
    <w:rsid w:val="003A6C66"/>
    <w:rsid w:val="003A7A8A"/>
    <w:rsid w:val="003B22C8"/>
    <w:rsid w:val="003B515A"/>
    <w:rsid w:val="003C01E2"/>
    <w:rsid w:val="003C1040"/>
    <w:rsid w:val="003C1726"/>
    <w:rsid w:val="003C1CCF"/>
    <w:rsid w:val="003C484B"/>
    <w:rsid w:val="003C6B98"/>
    <w:rsid w:val="003C6CC4"/>
    <w:rsid w:val="003D118A"/>
    <w:rsid w:val="003D1A1B"/>
    <w:rsid w:val="003E04A6"/>
    <w:rsid w:val="003E6CFF"/>
    <w:rsid w:val="004016F4"/>
    <w:rsid w:val="00401BE9"/>
    <w:rsid w:val="004042A3"/>
    <w:rsid w:val="00420F0A"/>
    <w:rsid w:val="004210C7"/>
    <w:rsid w:val="00423007"/>
    <w:rsid w:val="00443A9D"/>
    <w:rsid w:val="0045367A"/>
    <w:rsid w:val="00454673"/>
    <w:rsid w:val="00456272"/>
    <w:rsid w:val="004664F6"/>
    <w:rsid w:val="00466507"/>
    <w:rsid w:val="004678FF"/>
    <w:rsid w:val="004720ED"/>
    <w:rsid w:val="0047700E"/>
    <w:rsid w:val="004863BE"/>
    <w:rsid w:val="00486CF4"/>
    <w:rsid w:val="00493F44"/>
    <w:rsid w:val="0049554C"/>
    <w:rsid w:val="00497A41"/>
    <w:rsid w:val="004A0EBD"/>
    <w:rsid w:val="004A19D8"/>
    <w:rsid w:val="004A1AFA"/>
    <w:rsid w:val="004A20CC"/>
    <w:rsid w:val="004B1072"/>
    <w:rsid w:val="004C5C0C"/>
    <w:rsid w:val="004C697A"/>
    <w:rsid w:val="004C6E03"/>
    <w:rsid w:val="004D0334"/>
    <w:rsid w:val="004D271D"/>
    <w:rsid w:val="004E5C53"/>
    <w:rsid w:val="004E74E2"/>
    <w:rsid w:val="004F7CEC"/>
    <w:rsid w:val="00500B3E"/>
    <w:rsid w:val="005123BF"/>
    <w:rsid w:val="00512CE6"/>
    <w:rsid w:val="00514D7F"/>
    <w:rsid w:val="00520ACB"/>
    <w:rsid w:val="00520F6F"/>
    <w:rsid w:val="00523987"/>
    <w:rsid w:val="00523A25"/>
    <w:rsid w:val="00536FB6"/>
    <w:rsid w:val="0054019B"/>
    <w:rsid w:val="00540EB9"/>
    <w:rsid w:val="00542E9A"/>
    <w:rsid w:val="00544323"/>
    <w:rsid w:val="00546363"/>
    <w:rsid w:val="005526AA"/>
    <w:rsid w:val="00553BFA"/>
    <w:rsid w:val="00555952"/>
    <w:rsid w:val="00560847"/>
    <w:rsid w:val="005662CE"/>
    <w:rsid w:val="005669E1"/>
    <w:rsid w:val="00580AEE"/>
    <w:rsid w:val="00586997"/>
    <w:rsid w:val="00587056"/>
    <w:rsid w:val="00587A2D"/>
    <w:rsid w:val="00590498"/>
    <w:rsid w:val="005927CE"/>
    <w:rsid w:val="00597329"/>
    <w:rsid w:val="005A5AC9"/>
    <w:rsid w:val="005A65B7"/>
    <w:rsid w:val="005A6E6F"/>
    <w:rsid w:val="005B3966"/>
    <w:rsid w:val="005B68D5"/>
    <w:rsid w:val="005C0CB2"/>
    <w:rsid w:val="005C0EE9"/>
    <w:rsid w:val="005C2358"/>
    <w:rsid w:val="005C6FEC"/>
    <w:rsid w:val="005D2475"/>
    <w:rsid w:val="005D6B6F"/>
    <w:rsid w:val="005E4B91"/>
    <w:rsid w:val="005E4C51"/>
    <w:rsid w:val="005E7E51"/>
    <w:rsid w:val="005F0BC6"/>
    <w:rsid w:val="005F4F46"/>
    <w:rsid w:val="005F66F4"/>
    <w:rsid w:val="00600F2B"/>
    <w:rsid w:val="00601ECB"/>
    <w:rsid w:val="006025E0"/>
    <w:rsid w:val="00613D78"/>
    <w:rsid w:val="00615634"/>
    <w:rsid w:val="00620FB4"/>
    <w:rsid w:val="00624244"/>
    <w:rsid w:val="006268CE"/>
    <w:rsid w:val="00632CB2"/>
    <w:rsid w:val="00635DF4"/>
    <w:rsid w:val="006367B1"/>
    <w:rsid w:val="006371A0"/>
    <w:rsid w:val="00640A6B"/>
    <w:rsid w:val="0064438B"/>
    <w:rsid w:val="006537CF"/>
    <w:rsid w:val="00656711"/>
    <w:rsid w:val="00657F17"/>
    <w:rsid w:val="0066001B"/>
    <w:rsid w:val="00664DF7"/>
    <w:rsid w:val="00665143"/>
    <w:rsid w:val="006676CF"/>
    <w:rsid w:val="00670013"/>
    <w:rsid w:val="006727C2"/>
    <w:rsid w:val="00681412"/>
    <w:rsid w:val="00684919"/>
    <w:rsid w:val="006916C5"/>
    <w:rsid w:val="006A781D"/>
    <w:rsid w:val="006B09AA"/>
    <w:rsid w:val="006B6FB0"/>
    <w:rsid w:val="006C0EC1"/>
    <w:rsid w:val="006C1C4B"/>
    <w:rsid w:val="006C554C"/>
    <w:rsid w:val="006D08C5"/>
    <w:rsid w:val="006D20D0"/>
    <w:rsid w:val="006E089F"/>
    <w:rsid w:val="006E45B8"/>
    <w:rsid w:val="006E632F"/>
    <w:rsid w:val="00700331"/>
    <w:rsid w:val="00702F3E"/>
    <w:rsid w:val="007056FC"/>
    <w:rsid w:val="00711366"/>
    <w:rsid w:val="0072080E"/>
    <w:rsid w:val="00723A78"/>
    <w:rsid w:val="00725AE5"/>
    <w:rsid w:val="00725B6B"/>
    <w:rsid w:val="007263FE"/>
    <w:rsid w:val="00732ACC"/>
    <w:rsid w:val="00733CEE"/>
    <w:rsid w:val="007350A1"/>
    <w:rsid w:val="007358B6"/>
    <w:rsid w:val="00736154"/>
    <w:rsid w:val="00736C06"/>
    <w:rsid w:val="00751008"/>
    <w:rsid w:val="00752899"/>
    <w:rsid w:val="00762918"/>
    <w:rsid w:val="00764A20"/>
    <w:rsid w:val="00770444"/>
    <w:rsid w:val="00770B40"/>
    <w:rsid w:val="00780BAE"/>
    <w:rsid w:val="00780C40"/>
    <w:rsid w:val="00782E6F"/>
    <w:rsid w:val="00794D71"/>
    <w:rsid w:val="007A2D3D"/>
    <w:rsid w:val="007A6902"/>
    <w:rsid w:val="007A71EA"/>
    <w:rsid w:val="007A7887"/>
    <w:rsid w:val="007B1765"/>
    <w:rsid w:val="007B4C46"/>
    <w:rsid w:val="007D0E1D"/>
    <w:rsid w:val="007D1E1A"/>
    <w:rsid w:val="007D1E47"/>
    <w:rsid w:val="007D2F9B"/>
    <w:rsid w:val="007D3271"/>
    <w:rsid w:val="007D3A5F"/>
    <w:rsid w:val="007E0E0B"/>
    <w:rsid w:val="007E4C1E"/>
    <w:rsid w:val="007E7FD3"/>
    <w:rsid w:val="007F2115"/>
    <w:rsid w:val="00800BDC"/>
    <w:rsid w:val="00801881"/>
    <w:rsid w:val="00801EDF"/>
    <w:rsid w:val="008026CF"/>
    <w:rsid w:val="00806D51"/>
    <w:rsid w:val="00814F45"/>
    <w:rsid w:val="00817546"/>
    <w:rsid w:val="00821FC5"/>
    <w:rsid w:val="00822A5F"/>
    <w:rsid w:val="0083082F"/>
    <w:rsid w:val="00831E60"/>
    <w:rsid w:val="008344C7"/>
    <w:rsid w:val="00841187"/>
    <w:rsid w:val="0084409B"/>
    <w:rsid w:val="00844E3E"/>
    <w:rsid w:val="0085191F"/>
    <w:rsid w:val="00853929"/>
    <w:rsid w:val="00856398"/>
    <w:rsid w:val="00860878"/>
    <w:rsid w:val="0086177D"/>
    <w:rsid w:val="00866B5E"/>
    <w:rsid w:val="008778F2"/>
    <w:rsid w:val="00877EBE"/>
    <w:rsid w:val="00880631"/>
    <w:rsid w:val="0088519B"/>
    <w:rsid w:val="00887D39"/>
    <w:rsid w:val="00896727"/>
    <w:rsid w:val="008A3578"/>
    <w:rsid w:val="008A3E70"/>
    <w:rsid w:val="008A67B2"/>
    <w:rsid w:val="008A7577"/>
    <w:rsid w:val="008B3329"/>
    <w:rsid w:val="008B4956"/>
    <w:rsid w:val="008B60FE"/>
    <w:rsid w:val="008B7FDE"/>
    <w:rsid w:val="008C2CC8"/>
    <w:rsid w:val="008D7754"/>
    <w:rsid w:val="008E418A"/>
    <w:rsid w:val="008E5E71"/>
    <w:rsid w:val="008F02ED"/>
    <w:rsid w:val="008F2161"/>
    <w:rsid w:val="008F3E8E"/>
    <w:rsid w:val="008F7193"/>
    <w:rsid w:val="008F7469"/>
    <w:rsid w:val="009003F1"/>
    <w:rsid w:val="00910418"/>
    <w:rsid w:val="00924E02"/>
    <w:rsid w:val="00931EB3"/>
    <w:rsid w:val="00933BE4"/>
    <w:rsid w:val="00934D5F"/>
    <w:rsid w:val="00937F25"/>
    <w:rsid w:val="00940AFA"/>
    <w:rsid w:val="00945E0A"/>
    <w:rsid w:val="00955296"/>
    <w:rsid w:val="009606AE"/>
    <w:rsid w:val="00960E56"/>
    <w:rsid w:val="00962880"/>
    <w:rsid w:val="009635B2"/>
    <w:rsid w:val="00963C74"/>
    <w:rsid w:val="00965B9A"/>
    <w:rsid w:val="00966C58"/>
    <w:rsid w:val="0097269D"/>
    <w:rsid w:val="00974281"/>
    <w:rsid w:val="0098008E"/>
    <w:rsid w:val="00982262"/>
    <w:rsid w:val="00986ACA"/>
    <w:rsid w:val="009974BD"/>
    <w:rsid w:val="009A2167"/>
    <w:rsid w:val="009A4BCE"/>
    <w:rsid w:val="009A59CE"/>
    <w:rsid w:val="009A68DF"/>
    <w:rsid w:val="009B007A"/>
    <w:rsid w:val="009B1A98"/>
    <w:rsid w:val="009B7285"/>
    <w:rsid w:val="009C2178"/>
    <w:rsid w:val="009C2602"/>
    <w:rsid w:val="009C3FC5"/>
    <w:rsid w:val="009D25A6"/>
    <w:rsid w:val="009D2F51"/>
    <w:rsid w:val="009D2FDC"/>
    <w:rsid w:val="009E2391"/>
    <w:rsid w:val="009E599D"/>
    <w:rsid w:val="009F41E4"/>
    <w:rsid w:val="009F4BAB"/>
    <w:rsid w:val="00A015B3"/>
    <w:rsid w:val="00A04029"/>
    <w:rsid w:val="00A0741F"/>
    <w:rsid w:val="00A15781"/>
    <w:rsid w:val="00A207FE"/>
    <w:rsid w:val="00A20ECD"/>
    <w:rsid w:val="00A211DC"/>
    <w:rsid w:val="00A224C7"/>
    <w:rsid w:val="00A242B6"/>
    <w:rsid w:val="00A2666F"/>
    <w:rsid w:val="00A3036B"/>
    <w:rsid w:val="00A322DC"/>
    <w:rsid w:val="00A32E7E"/>
    <w:rsid w:val="00A3688B"/>
    <w:rsid w:val="00A427EA"/>
    <w:rsid w:val="00A44B2A"/>
    <w:rsid w:val="00A477AC"/>
    <w:rsid w:val="00A5109F"/>
    <w:rsid w:val="00A51410"/>
    <w:rsid w:val="00A53631"/>
    <w:rsid w:val="00A5401C"/>
    <w:rsid w:val="00A56F3C"/>
    <w:rsid w:val="00A66685"/>
    <w:rsid w:val="00A66B86"/>
    <w:rsid w:val="00A70CEB"/>
    <w:rsid w:val="00A747D3"/>
    <w:rsid w:val="00A76CEE"/>
    <w:rsid w:val="00A83927"/>
    <w:rsid w:val="00A922B6"/>
    <w:rsid w:val="00A93266"/>
    <w:rsid w:val="00A95277"/>
    <w:rsid w:val="00A96657"/>
    <w:rsid w:val="00AA1A7E"/>
    <w:rsid w:val="00AA5D6C"/>
    <w:rsid w:val="00AB1B6B"/>
    <w:rsid w:val="00AC0B80"/>
    <w:rsid w:val="00AC14F7"/>
    <w:rsid w:val="00AC17F7"/>
    <w:rsid w:val="00AC38C9"/>
    <w:rsid w:val="00AD0C96"/>
    <w:rsid w:val="00AD5DD1"/>
    <w:rsid w:val="00AE1234"/>
    <w:rsid w:val="00AE28F1"/>
    <w:rsid w:val="00AE6D26"/>
    <w:rsid w:val="00AF2589"/>
    <w:rsid w:val="00AF74CB"/>
    <w:rsid w:val="00B060BF"/>
    <w:rsid w:val="00B143FC"/>
    <w:rsid w:val="00B23E80"/>
    <w:rsid w:val="00B2602C"/>
    <w:rsid w:val="00B32E67"/>
    <w:rsid w:val="00B34BD1"/>
    <w:rsid w:val="00B44DE7"/>
    <w:rsid w:val="00B50240"/>
    <w:rsid w:val="00B50ED4"/>
    <w:rsid w:val="00B61411"/>
    <w:rsid w:val="00B615A5"/>
    <w:rsid w:val="00B64323"/>
    <w:rsid w:val="00B73AE7"/>
    <w:rsid w:val="00B76518"/>
    <w:rsid w:val="00B7659F"/>
    <w:rsid w:val="00B77BBB"/>
    <w:rsid w:val="00B84BE4"/>
    <w:rsid w:val="00B87D13"/>
    <w:rsid w:val="00BA1E78"/>
    <w:rsid w:val="00BA25D8"/>
    <w:rsid w:val="00BA2CF9"/>
    <w:rsid w:val="00BA313C"/>
    <w:rsid w:val="00BA60A7"/>
    <w:rsid w:val="00BB1756"/>
    <w:rsid w:val="00BB528A"/>
    <w:rsid w:val="00BB64BA"/>
    <w:rsid w:val="00BB73E5"/>
    <w:rsid w:val="00BB7426"/>
    <w:rsid w:val="00BC1628"/>
    <w:rsid w:val="00BC41C0"/>
    <w:rsid w:val="00BC5847"/>
    <w:rsid w:val="00BC6765"/>
    <w:rsid w:val="00BC7B77"/>
    <w:rsid w:val="00BD00B3"/>
    <w:rsid w:val="00BD3255"/>
    <w:rsid w:val="00BD674D"/>
    <w:rsid w:val="00BE2C05"/>
    <w:rsid w:val="00BE3FCE"/>
    <w:rsid w:val="00BE4F08"/>
    <w:rsid w:val="00BF0E12"/>
    <w:rsid w:val="00BF40E8"/>
    <w:rsid w:val="00BF5460"/>
    <w:rsid w:val="00BF684E"/>
    <w:rsid w:val="00C04845"/>
    <w:rsid w:val="00C0602D"/>
    <w:rsid w:val="00C12759"/>
    <w:rsid w:val="00C12F2D"/>
    <w:rsid w:val="00C137CB"/>
    <w:rsid w:val="00C15D2D"/>
    <w:rsid w:val="00C21D7B"/>
    <w:rsid w:val="00C23E28"/>
    <w:rsid w:val="00C323A6"/>
    <w:rsid w:val="00C3349C"/>
    <w:rsid w:val="00C418EA"/>
    <w:rsid w:val="00C42BF7"/>
    <w:rsid w:val="00C43CD7"/>
    <w:rsid w:val="00C44042"/>
    <w:rsid w:val="00C54F70"/>
    <w:rsid w:val="00C55CE7"/>
    <w:rsid w:val="00C56996"/>
    <w:rsid w:val="00C57927"/>
    <w:rsid w:val="00C60FFE"/>
    <w:rsid w:val="00C6618B"/>
    <w:rsid w:val="00C85899"/>
    <w:rsid w:val="00C86B9A"/>
    <w:rsid w:val="00C921D1"/>
    <w:rsid w:val="00CA1BDD"/>
    <w:rsid w:val="00CA2114"/>
    <w:rsid w:val="00CA298C"/>
    <w:rsid w:val="00CA41CC"/>
    <w:rsid w:val="00CA6AEC"/>
    <w:rsid w:val="00CB42DB"/>
    <w:rsid w:val="00CB70B0"/>
    <w:rsid w:val="00CC51D1"/>
    <w:rsid w:val="00CD10D6"/>
    <w:rsid w:val="00CD1437"/>
    <w:rsid w:val="00CD3C2F"/>
    <w:rsid w:val="00CD430B"/>
    <w:rsid w:val="00CD461C"/>
    <w:rsid w:val="00CD7098"/>
    <w:rsid w:val="00CF6B60"/>
    <w:rsid w:val="00CF7468"/>
    <w:rsid w:val="00D02AF7"/>
    <w:rsid w:val="00D03917"/>
    <w:rsid w:val="00D04C8E"/>
    <w:rsid w:val="00D151B5"/>
    <w:rsid w:val="00D22267"/>
    <w:rsid w:val="00D24859"/>
    <w:rsid w:val="00D31780"/>
    <w:rsid w:val="00D337AD"/>
    <w:rsid w:val="00D35E06"/>
    <w:rsid w:val="00D3714B"/>
    <w:rsid w:val="00D411CE"/>
    <w:rsid w:val="00D41A33"/>
    <w:rsid w:val="00D41CCC"/>
    <w:rsid w:val="00D42BD6"/>
    <w:rsid w:val="00D42E1F"/>
    <w:rsid w:val="00D474B0"/>
    <w:rsid w:val="00D55798"/>
    <w:rsid w:val="00D57010"/>
    <w:rsid w:val="00D572AD"/>
    <w:rsid w:val="00D65F57"/>
    <w:rsid w:val="00D6770E"/>
    <w:rsid w:val="00D67C64"/>
    <w:rsid w:val="00D76821"/>
    <w:rsid w:val="00D77200"/>
    <w:rsid w:val="00D85DA7"/>
    <w:rsid w:val="00D92EB0"/>
    <w:rsid w:val="00D941A4"/>
    <w:rsid w:val="00D95435"/>
    <w:rsid w:val="00D95B95"/>
    <w:rsid w:val="00DA1D33"/>
    <w:rsid w:val="00DA63FA"/>
    <w:rsid w:val="00DB2BAA"/>
    <w:rsid w:val="00DB392D"/>
    <w:rsid w:val="00DB59EF"/>
    <w:rsid w:val="00DC1EB8"/>
    <w:rsid w:val="00DC26A6"/>
    <w:rsid w:val="00DD0567"/>
    <w:rsid w:val="00DD080C"/>
    <w:rsid w:val="00DD1830"/>
    <w:rsid w:val="00DD1C0F"/>
    <w:rsid w:val="00DD4437"/>
    <w:rsid w:val="00DD4916"/>
    <w:rsid w:val="00DD5566"/>
    <w:rsid w:val="00DD5734"/>
    <w:rsid w:val="00DD7378"/>
    <w:rsid w:val="00DE7AA3"/>
    <w:rsid w:val="00DF10A9"/>
    <w:rsid w:val="00DF2B6A"/>
    <w:rsid w:val="00DF56A2"/>
    <w:rsid w:val="00E02D3E"/>
    <w:rsid w:val="00E15527"/>
    <w:rsid w:val="00E226A1"/>
    <w:rsid w:val="00E244F7"/>
    <w:rsid w:val="00E253C4"/>
    <w:rsid w:val="00E25483"/>
    <w:rsid w:val="00E30A1D"/>
    <w:rsid w:val="00E30DD6"/>
    <w:rsid w:val="00E314CD"/>
    <w:rsid w:val="00E32D47"/>
    <w:rsid w:val="00E44350"/>
    <w:rsid w:val="00E45B11"/>
    <w:rsid w:val="00E50156"/>
    <w:rsid w:val="00E53BED"/>
    <w:rsid w:val="00E655EE"/>
    <w:rsid w:val="00E72AC3"/>
    <w:rsid w:val="00E7776F"/>
    <w:rsid w:val="00E804F7"/>
    <w:rsid w:val="00E8343B"/>
    <w:rsid w:val="00E85005"/>
    <w:rsid w:val="00E85B9E"/>
    <w:rsid w:val="00E86D31"/>
    <w:rsid w:val="00E931A7"/>
    <w:rsid w:val="00E97226"/>
    <w:rsid w:val="00EA04C3"/>
    <w:rsid w:val="00EA68DF"/>
    <w:rsid w:val="00EA6D6B"/>
    <w:rsid w:val="00EB49AF"/>
    <w:rsid w:val="00EB4FF2"/>
    <w:rsid w:val="00EC1D17"/>
    <w:rsid w:val="00EC4083"/>
    <w:rsid w:val="00EE0692"/>
    <w:rsid w:val="00EE3441"/>
    <w:rsid w:val="00EE6284"/>
    <w:rsid w:val="00EE7405"/>
    <w:rsid w:val="00EF1575"/>
    <w:rsid w:val="00EF706F"/>
    <w:rsid w:val="00EF7CCB"/>
    <w:rsid w:val="00F030B8"/>
    <w:rsid w:val="00F0527E"/>
    <w:rsid w:val="00F05325"/>
    <w:rsid w:val="00F07A00"/>
    <w:rsid w:val="00F1038D"/>
    <w:rsid w:val="00F151DD"/>
    <w:rsid w:val="00F15741"/>
    <w:rsid w:val="00F1682E"/>
    <w:rsid w:val="00F2167D"/>
    <w:rsid w:val="00F243BF"/>
    <w:rsid w:val="00F26280"/>
    <w:rsid w:val="00F27D62"/>
    <w:rsid w:val="00F31381"/>
    <w:rsid w:val="00F4120D"/>
    <w:rsid w:val="00F44638"/>
    <w:rsid w:val="00F56589"/>
    <w:rsid w:val="00F610B3"/>
    <w:rsid w:val="00F61AFA"/>
    <w:rsid w:val="00F630A5"/>
    <w:rsid w:val="00F6394A"/>
    <w:rsid w:val="00F6447F"/>
    <w:rsid w:val="00F6774C"/>
    <w:rsid w:val="00F71A8D"/>
    <w:rsid w:val="00F81324"/>
    <w:rsid w:val="00F81633"/>
    <w:rsid w:val="00F83AFE"/>
    <w:rsid w:val="00F869C3"/>
    <w:rsid w:val="00FB2FFC"/>
    <w:rsid w:val="00FB446E"/>
    <w:rsid w:val="00FB65D0"/>
    <w:rsid w:val="00FC38CC"/>
    <w:rsid w:val="00FC5A63"/>
    <w:rsid w:val="00FC6A29"/>
    <w:rsid w:val="00FD09BF"/>
    <w:rsid w:val="00FD3FAE"/>
    <w:rsid w:val="00FD4A42"/>
    <w:rsid w:val="00FD5185"/>
    <w:rsid w:val="00FD566B"/>
    <w:rsid w:val="00FF1A67"/>
    <w:rsid w:val="00FF28C1"/>
    <w:rsid w:val="00FF4308"/>
    <w:rsid w:val="00FF4A25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1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AC17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7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17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AC17F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17F7"/>
    <w:rPr>
      <w:i/>
      <w:iCs/>
    </w:rPr>
  </w:style>
  <w:style w:type="character" w:customStyle="1" w:styleId="metrics">
    <w:name w:val="metrics"/>
    <w:basedOn w:val="DefaultParagraphFont"/>
    <w:rsid w:val="00AC17F7"/>
  </w:style>
  <w:style w:type="paragraph" w:customStyle="1" w:styleId="sumpara">
    <w:name w:val="sumpara"/>
    <w:basedOn w:val="Normal"/>
    <w:rsid w:val="00A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-caps">
    <w:name w:val="small-caps"/>
    <w:basedOn w:val="DefaultParagraphFont"/>
    <w:rsid w:val="00AC17F7"/>
  </w:style>
  <w:style w:type="paragraph" w:styleId="NormalWeb">
    <w:name w:val="Normal (Web)"/>
    <w:basedOn w:val="Normal"/>
    <w:uiPriority w:val="99"/>
    <w:semiHidden/>
    <w:unhideWhenUsed/>
    <w:rsid w:val="00A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yline">
    <w:name w:val="byline"/>
    <w:basedOn w:val="Normal"/>
    <w:rsid w:val="00A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17F7"/>
    <w:rPr>
      <w:color w:val="0000FF"/>
      <w:u w:val="single"/>
    </w:rPr>
  </w:style>
  <w:style w:type="paragraph" w:customStyle="1" w:styleId="bibl">
    <w:name w:val="bibl"/>
    <w:basedOn w:val="Normal"/>
    <w:rsid w:val="00A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italic">
    <w:name w:val="citationitalic"/>
    <w:basedOn w:val="DefaultParagraphFont"/>
    <w:rsid w:val="00AC17F7"/>
  </w:style>
  <w:style w:type="character" w:customStyle="1" w:styleId="citationunderline">
    <w:name w:val="citationunderline"/>
    <w:basedOn w:val="DefaultParagraphFont"/>
    <w:rsid w:val="00AC17F7"/>
  </w:style>
  <w:style w:type="character" w:customStyle="1" w:styleId="apple-converted-space">
    <w:name w:val="apple-converted-space"/>
    <w:basedOn w:val="DefaultParagraphFont"/>
    <w:rsid w:val="00E85B9E"/>
  </w:style>
  <w:style w:type="character" w:styleId="HTMLCite">
    <w:name w:val="HTML Cite"/>
    <w:basedOn w:val="DefaultParagraphFont"/>
    <w:uiPriority w:val="99"/>
    <w:semiHidden/>
    <w:unhideWhenUsed/>
    <w:rsid w:val="00C23E28"/>
    <w:rPr>
      <w:i/>
      <w:iCs/>
    </w:rPr>
  </w:style>
  <w:style w:type="character" w:customStyle="1" w:styleId="a-size-large">
    <w:name w:val="a-size-large"/>
    <w:basedOn w:val="DefaultParagraphFont"/>
    <w:rsid w:val="00B61411"/>
  </w:style>
  <w:style w:type="paragraph" w:styleId="BalloonText">
    <w:name w:val="Balloon Text"/>
    <w:basedOn w:val="Normal"/>
    <w:link w:val="BalloonTextChar"/>
    <w:uiPriority w:val="99"/>
    <w:semiHidden/>
    <w:unhideWhenUsed/>
    <w:rsid w:val="0040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E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6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7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7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71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1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AC17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7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17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AC17F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17F7"/>
    <w:rPr>
      <w:i/>
      <w:iCs/>
    </w:rPr>
  </w:style>
  <w:style w:type="character" w:customStyle="1" w:styleId="metrics">
    <w:name w:val="metrics"/>
    <w:basedOn w:val="DefaultParagraphFont"/>
    <w:rsid w:val="00AC17F7"/>
  </w:style>
  <w:style w:type="paragraph" w:customStyle="1" w:styleId="sumpara">
    <w:name w:val="sumpara"/>
    <w:basedOn w:val="Normal"/>
    <w:rsid w:val="00A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-caps">
    <w:name w:val="small-caps"/>
    <w:basedOn w:val="DefaultParagraphFont"/>
    <w:rsid w:val="00AC17F7"/>
  </w:style>
  <w:style w:type="paragraph" w:styleId="NormalWeb">
    <w:name w:val="Normal (Web)"/>
    <w:basedOn w:val="Normal"/>
    <w:uiPriority w:val="99"/>
    <w:semiHidden/>
    <w:unhideWhenUsed/>
    <w:rsid w:val="00A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yline">
    <w:name w:val="byline"/>
    <w:basedOn w:val="Normal"/>
    <w:rsid w:val="00A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17F7"/>
    <w:rPr>
      <w:color w:val="0000FF"/>
      <w:u w:val="single"/>
    </w:rPr>
  </w:style>
  <w:style w:type="paragraph" w:customStyle="1" w:styleId="bibl">
    <w:name w:val="bibl"/>
    <w:basedOn w:val="Normal"/>
    <w:rsid w:val="00A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italic">
    <w:name w:val="citationitalic"/>
    <w:basedOn w:val="DefaultParagraphFont"/>
    <w:rsid w:val="00AC17F7"/>
  </w:style>
  <w:style w:type="character" w:customStyle="1" w:styleId="citationunderline">
    <w:name w:val="citationunderline"/>
    <w:basedOn w:val="DefaultParagraphFont"/>
    <w:rsid w:val="00AC17F7"/>
  </w:style>
  <w:style w:type="character" w:customStyle="1" w:styleId="apple-converted-space">
    <w:name w:val="apple-converted-space"/>
    <w:basedOn w:val="DefaultParagraphFont"/>
    <w:rsid w:val="00E85B9E"/>
  </w:style>
  <w:style w:type="character" w:styleId="HTMLCite">
    <w:name w:val="HTML Cite"/>
    <w:basedOn w:val="DefaultParagraphFont"/>
    <w:uiPriority w:val="99"/>
    <w:semiHidden/>
    <w:unhideWhenUsed/>
    <w:rsid w:val="00C23E28"/>
    <w:rPr>
      <w:i/>
      <w:iCs/>
    </w:rPr>
  </w:style>
  <w:style w:type="character" w:customStyle="1" w:styleId="a-size-large">
    <w:name w:val="a-size-large"/>
    <w:basedOn w:val="DefaultParagraphFont"/>
    <w:rsid w:val="00B61411"/>
  </w:style>
  <w:style w:type="paragraph" w:styleId="BalloonText">
    <w:name w:val="Balloon Text"/>
    <w:basedOn w:val="Normal"/>
    <w:link w:val="BalloonTextChar"/>
    <w:uiPriority w:val="99"/>
    <w:semiHidden/>
    <w:unhideWhenUsed/>
    <w:rsid w:val="0040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E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6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7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7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7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B7CF1-13FD-4E0F-BEF7-AC32F374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Attiya</dc:creator>
  <cp:keywords/>
  <dc:description/>
  <cp:lastModifiedBy>Mahmoud Attiya</cp:lastModifiedBy>
  <cp:revision>4</cp:revision>
  <dcterms:created xsi:type="dcterms:W3CDTF">2015-06-25T20:57:00Z</dcterms:created>
  <dcterms:modified xsi:type="dcterms:W3CDTF">2015-06-26T17:10:00Z</dcterms:modified>
</cp:coreProperties>
</file>