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539BEA0" w14:textId="77777777" w:rsidTr="00922950">
        <w:tc>
          <w:tcPr>
            <w:tcW w:w="491" w:type="dxa"/>
            <w:vMerge w:val="restart"/>
            <w:shd w:val="clear" w:color="auto" w:fill="A6A6A6" w:themeFill="background1" w:themeFillShade="A6"/>
            <w:textDirection w:val="btLr"/>
          </w:tcPr>
          <w:p w14:paraId="1E08A27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51A3233967229438B0EF97FBA8BA110"/>
            </w:placeholder>
            <w:showingPlcHdr/>
            <w:dropDownList>
              <w:listItem w:displayText="Dr." w:value="Dr."/>
              <w:listItem w:displayText="Prof." w:value="Prof."/>
            </w:dropDownList>
          </w:sdtPr>
          <w:sdtEndPr/>
          <w:sdtContent>
            <w:tc>
              <w:tcPr>
                <w:tcW w:w="1259" w:type="dxa"/>
              </w:tcPr>
              <w:p w14:paraId="4C4DEB9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30BA522F5BF284893839FB406829553"/>
            </w:placeholder>
            <w:text/>
          </w:sdtPr>
          <w:sdtEndPr/>
          <w:sdtContent>
            <w:tc>
              <w:tcPr>
                <w:tcW w:w="2073" w:type="dxa"/>
              </w:tcPr>
              <w:p w14:paraId="64543F25" w14:textId="77777777" w:rsidR="00B574C9" w:rsidRDefault="00187FE4" w:rsidP="00187FE4">
                <w:r>
                  <w:t>Rob</w:t>
                </w:r>
              </w:p>
            </w:tc>
          </w:sdtContent>
        </w:sdt>
        <w:sdt>
          <w:sdtPr>
            <w:alias w:val="Middle name"/>
            <w:tag w:val="authorMiddleName"/>
            <w:id w:val="-2076034781"/>
            <w:placeholder>
              <w:docPart w:val="C38F0758A3D1F34A8CDA7EB010B2E8EC"/>
            </w:placeholder>
            <w:showingPlcHdr/>
            <w:text/>
          </w:sdtPr>
          <w:sdtEndPr/>
          <w:sdtContent>
            <w:tc>
              <w:tcPr>
                <w:tcW w:w="2551" w:type="dxa"/>
              </w:tcPr>
              <w:p w14:paraId="0F07643B" w14:textId="77777777" w:rsidR="00B574C9" w:rsidRDefault="00B574C9" w:rsidP="00922950">
                <w:r>
                  <w:rPr>
                    <w:rStyle w:val="PlaceholderText"/>
                  </w:rPr>
                  <w:t>[Middle name]</w:t>
                </w:r>
              </w:p>
            </w:tc>
          </w:sdtContent>
        </w:sdt>
        <w:sdt>
          <w:sdtPr>
            <w:alias w:val="Last name"/>
            <w:tag w:val="authorLastName"/>
            <w:id w:val="-1088529830"/>
            <w:placeholder>
              <w:docPart w:val="3A2139D931AA174288DCCCEC8E04B39E"/>
            </w:placeholder>
            <w:text/>
          </w:sdtPr>
          <w:sdtEndPr/>
          <w:sdtContent>
            <w:tc>
              <w:tcPr>
                <w:tcW w:w="2642" w:type="dxa"/>
              </w:tcPr>
              <w:p w14:paraId="299CF397" w14:textId="77777777" w:rsidR="00B574C9" w:rsidRDefault="00187FE4" w:rsidP="00187FE4">
                <w:proofErr w:type="spellStart"/>
                <w:r w:rsidRPr="00187FE4">
                  <w:rPr>
                    <w:lang w:eastAsia="ja-JP"/>
                  </w:rPr>
                  <w:t>Gossedge</w:t>
                </w:r>
                <w:proofErr w:type="spellEnd"/>
              </w:p>
            </w:tc>
          </w:sdtContent>
        </w:sdt>
      </w:tr>
      <w:tr w:rsidR="00B574C9" w14:paraId="061E3BC4" w14:textId="77777777" w:rsidTr="001A6A06">
        <w:trPr>
          <w:trHeight w:val="986"/>
        </w:trPr>
        <w:tc>
          <w:tcPr>
            <w:tcW w:w="491" w:type="dxa"/>
            <w:vMerge/>
            <w:shd w:val="clear" w:color="auto" w:fill="A6A6A6" w:themeFill="background1" w:themeFillShade="A6"/>
          </w:tcPr>
          <w:p w14:paraId="1352C0A4" w14:textId="77777777" w:rsidR="00B574C9" w:rsidRPr="001A6A06" w:rsidRDefault="00B574C9" w:rsidP="00CF1542">
            <w:pPr>
              <w:jc w:val="center"/>
              <w:rPr>
                <w:b/>
                <w:color w:val="FFFFFF" w:themeColor="background1"/>
              </w:rPr>
            </w:pPr>
          </w:p>
        </w:tc>
        <w:sdt>
          <w:sdtPr>
            <w:alias w:val="Biography"/>
            <w:tag w:val="authorBiography"/>
            <w:id w:val="938807824"/>
            <w:placeholder>
              <w:docPart w:val="BB1E728039AF9747AA529BFE0857CD81"/>
            </w:placeholder>
            <w:showingPlcHdr/>
          </w:sdtPr>
          <w:sdtEndPr/>
          <w:sdtContent>
            <w:tc>
              <w:tcPr>
                <w:tcW w:w="8525" w:type="dxa"/>
                <w:gridSpan w:val="4"/>
              </w:tcPr>
              <w:p w14:paraId="68B5161D" w14:textId="77777777" w:rsidR="00B574C9" w:rsidRDefault="00B574C9" w:rsidP="00922950">
                <w:r>
                  <w:rPr>
                    <w:rStyle w:val="PlaceholderText"/>
                  </w:rPr>
                  <w:t>[Enter your biography]</w:t>
                </w:r>
              </w:p>
            </w:tc>
          </w:sdtContent>
        </w:sdt>
      </w:tr>
      <w:tr w:rsidR="00B574C9" w14:paraId="5EFECC4B" w14:textId="77777777" w:rsidTr="001A6A06">
        <w:trPr>
          <w:trHeight w:val="986"/>
        </w:trPr>
        <w:tc>
          <w:tcPr>
            <w:tcW w:w="491" w:type="dxa"/>
            <w:vMerge/>
            <w:shd w:val="clear" w:color="auto" w:fill="A6A6A6" w:themeFill="background1" w:themeFillShade="A6"/>
          </w:tcPr>
          <w:p w14:paraId="50E790E3" w14:textId="77777777" w:rsidR="00B574C9" w:rsidRPr="001A6A06" w:rsidRDefault="00B574C9" w:rsidP="00CF1542">
            <w:pPr>
              <w:jc w:val="center"/>
              <w:rPr>
                <w:b/>
                <w:color w:val="FFFFFF" w:themeColor="background1"/>
              </w:rPr>
            </w:pPr>
          </w:p>
        </w:tc>
        <w:sdt>
          <w:sdtPr>
            <w:alias w:val="Affiliation"/>
            <w:tag w:val="affiliation"/>
            <w:id w:val="2012937915"/>
            <w:placeholder>
              <w:docPart w:val="9A5B99A1A42941438E6A3619E28E6CE2"/>
            </w:placeholder>
            <w:text/>
          </w:sdtPr>
          <w:sdtEndPr/>
          <w:sdtContent>
            <w:tc>
              <w:tcPr>
                <w:tcW w:w="8525" w:type="dxa"/>
                <w:gridSpan w:val="4"/>
              </w:tcPr>
              <w:p w14:paraId="5EAE47A1" w14:textId="77777777" w:rsidR="00B574C9" w:rsidRDefault="00187FE4" w:rsidP="00187FE4">
                <w:r w:rsidRPr="00221EEE">
                  <w:rPr>
                    <w:lang w:eastAsia="ja-JP"/>
                  </w:rPr>
                  <w:t>Cardiff University</w:t>
                </w:r>
              </w:p>
            </w:tc>
          </w:sdtContent>
        </w:sdt>
      </w:tr>
    </w:tbl>
    <w:p w14:paraId="6FF04D2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245D941" w14:textId="77777777" w:rsidTr="00244BB0">
        <w:tc>
          <w:tcPr>
            <w:tcW w:w="9016" w:type="dxa"/>
            <w:shd w:val="clear" w:color="auto" w:fill="A6A6A6" w:themeFill="background1" w:themeFillShade="A6"/>
            <w:tcMar>
              <w:top w:w="113" w:type="dxa"/>
              <w:bottom w:w="113" w:type="dxa"/>
            </w:tcMar>
          </w:tcPr>
          <w:p w14:paraId="70CCF7A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4F055BA" w14:textId="77777777" w:rsidTr="003F0D73">
        <w:sdt>
          <w:sdtPr>
            <w:alias w:val="Article headword"/>
            <w:tag w:val="articleHeadword"/>
            <w:id w:val="-361440020"/>
            <w:placeholder>
              <w:docPart w:val="C07D847B9007714EA6494CD3804E627D"/>
            </w:placeholder>
            <w:text/>
          </w:sdtPr>
          <w:sdtEndPr/>
          <w:sdtContent>
            <w:tc>
              <w:tcPr>
                <w:tcW w:w="9016" w:type="dxa"/>
                <w:tcMar>
                  <w:top w:w="113" w:type="dxa"/>
                  <w:bottom w:w="113" w:type="dxa"/>
                </w:tcMar>
              </w:tcPr>
              <w:p w14:paraId="4CAC3169" w14:textId="77777777" w:rsidR="003F0D73" w:rsidRPr="00FB589A" w:rsidRDefault="00187FE4" w:rsidP="003F0D73">
                <w:pPr>
                  <w:rPr>
                    <w:b/>
                  </w:rPr>
                </w:pPr>
                <w:r w:rsidRPr="00DB1368">
                  <w:rPr>
                    <w:rFonts w:ascii="Calibri" w:eastAsia="Calibri" w:hAnsi="Calibri" w:cs="Times New Roman"/>
                  </w:rPr>
                  <w:t>Jones, David (1895-1974)</w:t>
                </w:r>
              </w:p>
            </w:tc>
          </w:sdtContent>
        </w:sdt>
      </w:tr>
      <w:tr w:rsidR="00464699" w14:paraId="3A6D9262" w14:textId="77777777" w:rsidTr="00D925B8">
        <w:sdt>
          <w:sdtPr>
            <w:alias w:val="Variant headwords"/>
            <w:tag w:val="variantHeadwords"/>
            <w:id w:val="173464402"/>
            <w:placeholder>
              <w:docPart w:val="F110CBC9E351484789315C1E8F544AF2"/>
            </w:placeholder>
            <w:showingPlcHdr/>
          </w:sdtPr>
          <w:sdtEndPr/>
          <w:sdtContent>
            <w:tc>
              <w:tcPr>
                <w:tcW w:w="9016" w:type="dxa"/>
                <w:tcMar>
                  <w:top w:w="113" w:type="dxa"/>
                  <w:bottom w:w="113" w:type="dxa"/>
                </w:tcMar>
              </w:tcPr>
              <w:p w14:paraId="13157D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00EAC25" w14:textId="77777777" w:rsidTr="003F0D73">
        <w:sdt>
          <w:sdtPr>
            <w:alias w:val="Abstract"/>
            <w:tag w:val="abstract"/>
            <w:id w:val="-635871867"/>
            <w:placeholder>
              <w:docPart w:val="76ECFA9418AA824EAE055C4627B20646"/>
            </w:placeholder>
          </w:sdtPr>
          <w:sdtEndPr/>
          <w:sdtContent>
            <w:tc>
              <w:tcPr>
                <w:tcW w:w="9016" w:type="dxa"/>
                <w:tcMar>
                  <w:top w:w="113" w:type="dxa"/>
                  <w:bottom w:w="113" w:type="dxa"/>
                </w:tcMar>
              </w:tcPr>
              <w:p w14:paraId="18959312" w14:textId="77777777" w:rsidR="00187FE4" w:rsidRDefault="00187FE4" w:rsidP="00187FE4">
                <w:r>
                  <w:t xml:space="preserve">David Jones, the poet, painter and engraver, was born in </w:t>
                </w:r>
                <w:proofErr w:type="spellStart"/>
                <w:r>
                  <w:t>Brockley</w:t>
                </w:r>
                <w:proofErr w:type="spellEnd"/>
                <w:r>
                  <w:t>, Kent, in 1895. He was the youngest son of James Jones, a printer’s overseer from North Wales, and Alice Bradshaw, a former governess and talented amateur artist of Anglo-Italian descent. Although his family was English speaking and Low Church in religious practice, from an early age Jones was drawn to the culture of his father’s Welsh ancestors, and to the rituals of the Catholic Church (he was to convert in 1921). Both influences would prove crucial to Jones’s maturity as both artist and writer.</w:t>
                </w:r>
              </w:p>
              <w:p w14:paraId="3D37C85F" w14:textId="77777777" w:rsidR="00E85A05" w:rsidRDefault="00187FE4" w:rsidP="00E85A05">
                <w:r>
                  <w:t xml:space="preserve">In January 1915, after several years training as an artist at Camberwell School of Arts and Crafts, Jones enlisted in the ‘London-Welsh’ battalion of the Royal Welch Fusiliers, and served as a private until the end of the Great War. He was wounded in the leg during the assault on </w:t>
                </w:r>
                <w:proofErr w:type="spellStart"/>
                <w:r>
                  <w:t>Mametz</w:t>
                </w:r>
                <w:proofErr w:type="spellEnd"/>
                <w:r>
                  <w:t xml:space="preserve"> Wood, as part of the 1916 Somme Offensive. These experiences would serve as the narrative basis of his first major literary work, </w:t>
                </w:r>
                <w:r>
                  <w:rPr>
                    <w:i/>
                  </w:rPr>
                  <w:t>In Parenthesis</w:t>
                </w:r>
                <w:r>
                  <w:t xml:space="preserve"> (1937). Though that title was meant to convey his understanding of the war as a kind of parenthesised experience for him and his fellow amateur soldiers, he remained, artistically, unable to step outside of its brackets, and each of his major subsequent works would be shaped by his time in the trenches.</w:t>
                </w:r>
              </w:p>
            </w:tc>
          </w:sdtContent>
        </w:sdt>
      </w:tr>
      <w:tr w:rsidR="003F0D73" w14:paraId="47C2D8D6" w14:textId="77777777" w:rsidTr="003F0D73">
        <w:sdt>
          <w:sdtPr>
            <w:alias w:val="Article text"/>
            <w:tag w:val="articleText"/>
            <w:id w:val="634067588"/>
            <w:placeholder>
              <w:docPart w:val="C07D4F44E7787A4695225E4032045E52"/>
            </w:placeholder>
          </w:sdtPr>
          <w:sdtEndPr/>
          <w:sdtContent>
            <w:tc>
              <w:tcPr>
                <w:tcW w:w="9016" w:type="dxa"/>
                <w:tcMar>
                  <w:top w:w="113" w:type="dxa"/>
                  <w:bottom w:w="113" w:type="dxa"/>
                </w:tcMar>
              </w:tcPr>
              <w:p w14:paraId="6DEED3CA" w14:textId="17616E44" w:rsidR="00187FE4" w:rsidRDefault="00187FE4" w:rsidP="00187FE4">
                <w:r>
                  <w:t xml:space="preserve">David Jones, the poet, painter and engraver, was born in </w:t>
                </w:r>
                <w:proofErr w:type="spellStart"/>
                <w:r>
                  <w:t>Brockley</w:t>
                </w:r>
                <w:proofErr w:type="spellEnd"/>
                <w:r>
                  <w:t>, Kent, in 1895. He was the youngest son of James Jones, a printer’s overseer from North Wales, and Alice Bradshaw, a former governess and talented amateur artist of Anglo-Italian descent. Although his family was English speaking and Low Church in religious practice, from an early age Jones was drawn to the culture of his father’s Welsh ancestors, and to the rituals of the Catholic Church (he was to convert in 1921). Both influences would prove crucial to Jones’s maturity as both artist and writer.</w:t>
                </w:r>
              </w:p>
              <w:p w14:paraId="7E3FF01A" w14:textId="77777777" w:rsidR="00187FE4" w:rsidRPr="007969D8" w:rsidRDefault="00187FE4" w:rsidP="00187FE4">
                <w:r>
                  <w:t xml:space="preserve">In January 1915, after several years training as an artist at Camberwell School of Arts and Crafts, Jones enlisted in the ‘London-Welsh’ battalion of the Royal Welch Fusiliers, and served as a private until the end of the Great War. He was wounded in the leg during the assault on </w:t>
                </w:r>
                <w:proofErr w:type="spellStart"/>
                <w:r>
                  <w:t>Mametz</w:t>
                </w:r>
                <w:proofErr w:type="spellEnd"/>
                <w:r>
                  <w:t xml:space="preserve"> Wood, as part of the 1916 Somme Offensive. These experiences would serve as the narrative basis of his first major literary work, </w:t>
                </w:r>
                <w:r>
                  <w:rPr>
                    <w:i/>
                  </w:rPr>
                  <w:t>In Parenthesis</w:t>
                </w:r>
                <w:r>
                  <w:t xml:space="preserve"> (1937). Though that title was meant to convey his understanding of the war as a kind of parenthesised experience for him and his fellow amateur soldiers, he remained, artistically, unable to step outside of its brackets, and each of his major subsequent works would be shaped by his time in the trenches.</w:t>
                </w:r>
              </w:p>
              <w:p w14:paraId="75EB223C" w14:textId="77777777" w:rsidR="00187FE4" w:rsidRDefault="00187FE4" w:rsidP="00187FE4"/>
              <w:p w14:paraId="45657889" w14:textId="77777777" w:rsidR="00D925B8" w:rsidRDefault="00D925B8" w:rsidP="00187FE4">
                <w:r>
                  <w:t>File: DavidJones.jpg</w:t>
                </w:r>
              </w:p>
              <w:p w14:paraId="6ACC8FD6" w14:textId="7D8748FC" w:rsidR="00D925B8" w:rsidRPr="00D925B8" w:rsidRDefault="00D925B8" w:rsidP="00D925B8">
                <w:pPr>
                  <w:rPr>
                    <w:rStyle w:val="Strong"/>
                    <w:color w:val="5B9BD5" w:themeColor="accent1"/>
                    <w:sz w:val="18"/>
                    <w:szCs w:val="18"/>
                  </w:rPr>
                </w:pPr>
                <w:r>
                  <w:rPr>
                    <w:rStyle w:val="Strong"/>
                    <w:color w:val="5B9BD5" w:themeColor="accent1"/>
                    <w:sz w:val="18"/>
                    <w:szCs w:val="18"/>
                  </w:rPr>
                  <w:t xml:space="preserve">Fig.1: Portrait of Jones in uniform. </w:t>
                </w:r>
                <w:r w:rsidRPr="00D925B8">
                  <w:rPr>
                    <w:rStyle w:val="Strong"/>
                    <w:color w:val="5B9BD5" w:themeColor="accent1"/>
                    <w:sz w:val="18"/>
                    <w:szCs w:val="18"/>
                  </w:rPr>
                  <w:t xml:space="preserve">The Royal Welch Fusiliers </w:t>
                </w:r>
                <w:proofErr w:type="spellStart"/>
                <w:r w:rsidRPr="00D925B8">
                  <w:rPr>
                    <w:rStyle w:val="Strong"/>
                    <w:color w:val="5B9BD5" w:themeColor="accent1"/>
                    <w:sz w:val="18"/>
                    <w:szCs w:val="18"/>
                  </w:rPr>
                  <w:t>Musuem</w:t>
                </w:r>
                <w:proofErr w:type="spellEnd"/>
                <w:r w:rsidRPr="00D925B8">
                  <w:rPr>
                    <w:rStyle w:val="Strong"/>
                    <w:color w:val="5B9BD5" w:themeColor="accent1"/>
                    <w:sz w:val="18"/>
                    <w:szCs w:val="18"/>
                  </w:rPr>
                  <w:t xml:space="preserve"> / The David Jones Literary Estate</w:t>
                </w:r>
              </w:p>
              <w:p w14:paraId="3C1EF3FB" w14:textId="77777777" w:rsidR="00D925B8" w:rsidRDefault="00D925B8" w:rsidP="00187FE4"/>
              <w:p w14:paraId="588D3D53" w14:textId="69A1B197" w:rsidR="00187FE4" w:rsidRDefault="00187FE4" w:rsidP="00187FE4">
                <w:r>
                  <w:t xml:space="preserve">Arguably the finest poet-painter since William Blake, Jones’s corpus took three main forms. First there is the large and varied body of visual art, which reached its early maturity with the bold </w:t>
                </w:r>
                <w:r>
                  <w:lastRenderedPageBreak/>
                  <w:t xml:space="preserve">woodcuts of the </w:t>
                </w:r>
                <w:proofErr w:type="spellStart"/>
                <w:r>
                  <w:t>postwar</w:t>
                </w:r>
                <w:proofErr w:type="spellEnd"/>
                <w:r>
                  <w:t xml:space="preserve"> years, and the softly etched steel plate work of the later 1920s. Many of these engravings were book illustrations commissioned by fine art presses, and often reflected his religious faith and interest in mythic subjects and early British literature. His paintings, which increased in volume and scale after his deteriorating eyesight caused him to abandon engraving in 1930, are characterised by strong lines and powerful forms in his early work, delicate colours and busy intricacy in his later output. Several</w:t>
                </w:r>
                <w:r w:rsidR="00DB1368">
                  <w:t xml:space="preserve"> of his most famous paintings — </w:t>
                </w:r>
                <w:proofErr w:type="spellStart"/>
                <w:r>
                  <w:rPr>
                    <w:i/>
                  </w:rPr>
                  <w:t>Manwydan’s</w:t>
                </w:r>
                <w:proofErr w:type="spellEnd"/>
                <w:r>
                  <w:rPr>
                    <w:i/>
                  </w:rPr>
                  <w:t xml:space="preserve"> Glass Door</w:t>
                </w:r>
                <w:r>
                  <w:t xml:space="preserve"> (1931), </w:t>
                </w:r>
                <w:r>
                  <w:rPr>
                    <w:i/>
                  </w:rPr>
                  <w:t>Guinevere</w:t>
                </w:r>
                <w:r>
                  <w:t xml:space="preserve"> (1940), </w:t>
                </w:r>
                <w:r>
                  <w:rPr>
                    <w:i/>
                  </w:rPr>
                  <w:t>Aphrodite in Aulis</w:t>
                </w:r>
                <w:r>
                  <w:t xml:space="preserve"> (1941), and </w:t>
                </w:r>
                <w:proofErr w:type="spellStart"/>
                <w:r>
                  <w:rPr>
                    <w:i/>
                  </w:rPr>
                  <w:t>Trystan</w:t>
                </w:r>
                <w:proofErr w:type="spellEnd"/>
                <w:r>
                  <w:rPr>
                    <w:i/>
                  </w:rPr>
                  <w:t xml:space="preserve"> ac </w:t>
                </w:r>
                <w:proofErr w:type="spellStart"/>
                <w:r>
                  <w:rPr>
                    <w:i/>
                  </w:rPr>
                  <w:t>Essyllt</w:t>
                </w:r>
                <w:proofErr w:type="spellEnd"/>
                <w:r w:rsidR="00DB1368">
                  <w:t xml:space="preserve"> (1962) — </w:t>
                </w:r>
                <w:r>
                  <w:t>are complex, thematically-layered images which boldly reinterpret their mythic subjects through contemporary allusions, theological connections, and historic and literary associations.</w:t>
                </w:r>
              </w:p>
              <w:p w14:paraId="3D7677CA" w14:textId="77777777" w:rsidR="00187FE4" w:rsidRDefault="00187FE4" w:rsidP="00187FE4"/>
              <w:p w14:paraId="1AB91BFA" w14:textId="1C5DF2B0" w:rsidR="00D925B8" w:rsidRDefault="00D925B8" w:rsidP="00187FE4">
                <w:r>
                  <w:t xml:space="preserve">File: </w:t>
                </w:r>
                <w:r w:rsidR="006F0167" w:rsidRPr="006F0167">
                  <w:t>Trystan.jpeg</w:t>
                </w:r>
              </w:p>
              <w:p w14:paraId="7FC8A5D3" w14:textId="512868EF" w:rsidR="006F0167" w:rsidRDefault="006F0167" w:rsidP="00187FE4">
                <w:pPr>
                  <w:rPr>
                    <w:color w:val="5B9BD5" w:themeColor="accent1"/>
                    <w:sz w:val="18"/>
                    <w:szCs w:val="18"/>
                  </w:rPr>
                </w:pPr>
                <w:r>
                  <w:rPr>
                    <w:i/>
                    <w:color w:val="5B9BD5" w:themeColor="accent1"/>
                    <w:sz w:val="18"/>
                    <w:szCs w:val="18"/>
                  </w:rPr>
                  <w:t xml:space="preserve">Fig.2: </w:t>
                </w:r>
                <w:proofErr w:type="spellStart"/>
                <w:r w:rsidRPr="006F0167">
                  <w:rPr>
                    <w:i/>
                    <w:color w:val="5B9BD5" w:themeColor="accent1"/>
                    <w:sz w:val="18"/>
                    <w:szCs w:val="18"/>
                  </w:rPr>
                  <w:t>Trystan</w:t>
                </w:r>
                <w:proofErr w:type="spellEnd"/>
                <w:r w:rsidRPr="006F0167">
                  <w:rPr>
                    <w:i/>
                    <w:color w:val="5B9BD5" w:themeColor="accent1"/>
                    <w:sz w:val="18"/>
                    <w:szCs w:val="18"/>
                  </w:rPr>
                  <w:t xml:space="preserve"> ac </w:t>
                </w:r>
                <w:proofErr w:type="spellStart"/>
                <w:r w:rsidRPr="006F0167">
                  <w:rPr>
                    <w:i/>
                    <w:color w:val="5B9BD5" w:themeColor="accent1"/>
                    <w:sz w:val="18"/>
                    <w:szCs w:val="18"/>
                  </w:rPr>
                  <w:t>Essyllt</w:t>
                </w:r>
                <w:proofErr w:type="spellEnd"/>
                <w:r w:rsidRPr="006F0167">
                  <w:rPr>
                    <w:i/>
                    <w:color w:val="5B9BD5" w:themeColor="accent1"/>
                    <w:sz w:val="18"/>
                    <w:szCs w:val="18"/>
                  </w:rPr>
                  <w:t xml:space="preserve"> </w:t>
                </w:r>
                <w:r w:rsidRPr="006F0167">
                  <w:rPr>
                    <w:color w:val="5B9BD5" w:themeColor="accent1"/>
                    <w:sz w:val="18"/>
                    <w:szCs w:val="18"/>
                  </w:rPr>
                  <w:t>(1962)</w:t>
                </w:r>
              </w:p>
              <w:p w14:paraId="164E6794" w14:textId="77777777" w:rsidR="006F0167" w:rsidRPr="006F0167" w:rsidRDefault="006F0167" w:rsidP="00187FE4">
                <w:pPr>
                  <w:rPr>
                    <w:color w:val="5B9BD5" w:themeColor="accent1"/>
                    <w:sz w:val="18"/>
                    <w:szCs w:val="18"/>
                  </w:rPr>
                </w:pPr>
              </w:p>
              <w:p w14:paraId="04DE43AC" w14:textId="32A57BAC" w:rsidR="00187FE4" w:rsidRDefault="00187FE4" w:rsidP="00187FE4">
                <w:r>
                  <w:t xml:space="preserve">Jones turned to writing only after he had achieved fame as a visual artist. </w:t>
                </w:r>
                <w:r>
                  <w:rPr>
                    <w:i/>
                  </w:rPr>
                  <w:t xml:space="preserve">In Parenthesis </w:t>
                </w:r>
                <w:r>
                  <w:t>(1937), his first published work,</w:t>
                </w:r>
                <w:r>
                  <w:rPr>
                    <w:i/>
                  </w:rPr>
                  <w:t xml:space="preserve"> </w:t>
                </w:r>
                <w:r>
                  <w:t xml:space="preserve">tells the story of Private John Ball (a thinly fictionalised self-portrait of the author) and his Anglo-Welsh battalion, from their embarkation from Britain in December 1915, to their catastrophic attack on </w:t>
                </w:r>
                <w:proofErr w:type="spellStart"/>
                <w:r>
                  <w:t>Mametz</w:t>
                </w:r>
                <w:proofErr w:type="spellEnd"/>
                <w:r>
                  <w:t xml:space="preserve"> Wood the following July. Epic in scale, and elegiac in tone, it is one of the few English-language modernist works to focus directly on private soldiers’ experiences of trench warfare. It is also a consummately British (or at least Anglo-Welsh) work of modernist art, in which medieval Welsh poetry is fused with Shakespearian drama, Romantic verse, and Cockney rhyming slang. It received universal praise in its early reviews, and won the </w:t>
                </w:r>
                <w:proofErr w:type="spellStart"/>
                <w:r>
                  <w:t>Hawthornden</w:t>
                </w:r>
                <w:proofErr w:type="spellEnd"/>
                <w:r>
                  <w:t xml:space="preserve"> Prize in 1938. </w:t>
                </w:r>
                <w:proofErr w:type="gramStart"/>
                <w:r>
                  <w:t xml:space="preserve">Jones’s next published book, </w:t>
                </w:r>
                <w:r w:rsidRPr="003C0BE9">
                  <w:rPr>
                    <w:i/>
                  </w:rPr>
                  <w:t>The</w:t>
                </w:r>
                <w:r>
                  <w:rPr>
                    <w:i/>
                  </w:rPr>
                  <w:t xml:space="preserve"> </w:t>
                </w:r>
                <w:proofErr w:type="spellStart"/>
                <w:r>
                  <w:rPr>
                    <w:i/>
                  </w:rPr>
                  <w:t>Anathemata</w:t>
                </w:r>
                <w:proofErr w:type="spellEnd"/>
                <w:r>
                  <w:rPr>
                    <w:i/>
                  </w:rPr>
                  <w:t xml:space="preserve"> </w:t>
                </w:r>
                <w:r>
                  <w:t>(1952), was described by W.</w:t>
                </w:r>
                <w:r w:rsidR="00DB1368">
                  <w:t xml:space="preserve"> </w:t>
                </w:r>
                <w:r>
                  <w:t xml:space="preserve">H. Auden as ‘very probably the finest long poem </w:t>
                </w:r>
                <w:r w:rsidR="00AE2F6A">
                  <w:t>written in English this century</w:t>
                </w:r>
                <w:r>
                  <w:t>’</w:t>
                </w:r>
                <w:proofErr w:type="gramEnd"/>
                <w:r w:rsidR="00AE2F6A">
                  <w:t xml:space="preserve"> (Auden 67).</w:t>
                </w:r>
                <w:r>
                  <w:t xml:space="preserve"> A broad and difficult text, it traces various traditions of British and European culture unified by the image of the Mass. Jones continued </w:t>
                </w:r>
                <w:bookmarkStart w:id="0" w:name="_GoBack"/>
                <w:bookmarkEnd w:id="0"/>
                <w:r>
                  <w:t xml:space="preserve">to work on a series of interconnected shorter poems throughout the remainder of his life (many of which were published posthumously). He also published many essays and long reviews expounding his theory of art and the function of the artist. </w:t>
                </w:r>
              </w:p>
              <w:p w14:paraId="5DD6D54E" w14:textId="77777777" w:rsidR="00187FE4" w:rsidRPr="00A143C5" w:rsidRDefault="00187FE4" w:rsidP="00187FE4"/>
              <w:p w14:paraId="15C1F78B" w14:textId="1D2D9803" w:rsidR="00187FE4" w:rsidRDefault="00187FE4" w:rsidP="00187FE4">
                <w:r>
                  <w:t>Jones’s final body of work contains the calligraphic inscriptions he began in the 1940s. In his images of words on painted backgrounds, made in pencil, crayon, watercolour and i</w:t>
                </w:r>
                <w:r w:rsidR="00DB1368">
                  <w:t xml:space="preserve">nk, he devised a new art form — </w:t>
                </w:r>
                <w:r>
                  <w:t>one that suggested centuries of British writings: His thin angular lettering recalls ancient writings carved in stone, while his use of colour echoes the illuminations of medieval manuscripts; his choice of languages reflected all those spok</w:t>
                </w:r>
                <w:r w:rsidR="00DB1368">
                  <w:t xml:space="preserve">en south of the </w:t>
                </w:r>
                <w:proofErr w:type="spellStart"/>
                <w:r w:rsidR="00DB1368">
                  <w:t>Antonine</w:t>
                </w:r>
                <w:proofErr w:type="spellEnd"/>
                <w:r w:rsidR="00DB1368">
                  <w:t xml:space="preserve"> Wall — </w:t>
                </w:r>
                <w:r>
                  <w:t xml:space="preserve">Latin, Welsh, English and Old French; and his choice of quoted texts ranged from the Gospels and the Catholic liturgy to contemporary verse and the Anglo-Saxon </w:t>
                </w:r>
                <w:r>
                  <w:rPr>
                    <w:i/>
                  </w:rPr>
                  <w:t>Dream of the Rood</w:t>
                </w:r>
                <w:r>
                  <w:t>. Some were gifted as birthday presents to close friends: Eliot received one for his seventieth birthday, which consisted of various tex</w:t>
                </w:r>
                <w:r w:rsidR="00DB1368">
                  <w:t>ts related to the wasted land — i</w:t>
                </w:r>
                <w:r>
                  <w:t xml:space="preserve">ncluding Eliot’s epigraph from his famous 1922 </w:t>
                </w:r>
                <w:r>
                  <w:rPr>
                    <w:i/>
                  </w:rPr>
                  <w:t>The Waste Land</w:t>
                </w:r>
                <w:r>
                  <w:t xml:space="preserve">, the medieval French </w:t>
                </w:r>
                <w:proofErr w:type="spellStart"/>
                <w:r>
                  <w:rPr>
                    <w:i/>
                  </w:rPr>
                  <w:t>Parceval</w:t>
                </w:r>
                <w:proofErr w:type="spellEnd"/>
                <w:r>
                  <w:t xml:space="preserve">, the Welsh </w:t>
                </w:r>
                <w:proofErr w:type="spellStart"/>
                <w:r>
                  <w:rPr>
                    <w:i/>
                  </w:rPr>
                  <w:t>Manawydan</w:t>
                </w:r>
                <w:proofErr w:type="spellEnd"/>
                <w:r>
                  <w:rPr>
                    <w:i/>
                  </w:rPr>
                  <w:t xml:space="preserve"> </w:t>
                </w:r>
                <w:proofErr w:type="spellStart"/>
                <w:r>
                  <w:rPr>
                    <w:i/>
                  </w:rPr>
                  <w:t>ap</w:t>
                </w:r>
                <w:proofErr w:type="spellEnd"/>
                <w:r>
                  <w:rPr>
                    <w:i/>
                  </w:rPr>
                  <w:t xml:space="preserve"> </w:t>
                </w:r>
                <w:proofErr w:type="spellStart"/>
                <w:r>
                  <w:rPr>
                    <w:i/>
                  </w:rPr>
                  <w:t>Llyr</w:t>
                </w:r>
                <w:proofErr w:type="spellEnd"/>
                <w:r>
                  <w:t xml:space="preserve">, and Malory’s </w:t>
                </w:r>
                <w:proofErr w:type="spellStart"/>
                <w:r>
                  <w:rPr>
                    <w:i/>
                  </w:rPr>
                  <w:t>Morte</w:t>
                </w:r>
                <w:proofErr w:type="spellEnd"/>
                <w:r>
                  <w:rPr>
                    <w:i/>
                  </w:rPr>
                  <w:t xml:space="preserve"> </w:t>
                </w:r>
                <w:proofErr w:type="spellStart"/>
                <w:r>
                  <w:rPr>
                    <w:i/>
                  </w:rPr>
                  <w:t>D’arthur</w:t>
                </w:r>
                <w:proofErr w:type="spellEnd"/>
                <w:r>
                  <w:t xml:space="preserve">. Others had more potent purposes, such as </w:t>
                </w:r>
                <w:r>
                  <w:rPr>
                    <w:i/>
                  </w:rPr>
                  <w:t xml:space="preserve">Cara </w:t>
                </w:r>
                <w:proofErr w:type="spellStart"/>
                <w:r>
                  <w:rPr>
                    <w:i/>
                  </w:rPr>
                  <w:t>Wallia</w:t>
                </w:r>
                <w:proofErr w:type="spellEnd"/>
                <w:r>
                  <w:rPr>
                    <w:i/>
                  </w:rPr>
                  <w:t xml:space="preserve"> </w:t>
                </w:r>
                <w:proofErr w:type="spellStart"/>
                <w:r>
                  <w:rPr>
                    <w:i/>
                  </w:rPr>
                  <w:t>Derelicta</w:t>
                </w:r>
                <w:proofErr w:type="spellEnd"/>
                <w:r>
                  <w:t xml:space="preserve"> (1959), which takes the form of a lament for the death in battle in 1282 of </w:t>
                </w:r>
                <w:proofErr w:type="spellStart"/>
                <w:r>
                  <w:t>Llywelyn</w:t>
                </w:r>
                <w:proofErr w:type="spellEnd"/>
                <w:r>
                  <w:t xml:space="preserve"> </w:t>
                </w:r>
                <w:proofErr w:type="spellStart"/>
                <w:r>
                  <w:t>ap</w:t>
                </w:r>
                <w:proofErr w:type="spellEnd"/>
                <w:r>
                  <w:t xml:space="preserve"> </w:t>
                </w:r>
                <w:proofErr w:type="spellStart"/>
                <w:r>
                  <w:t>Gruffydd</w:t>
                </w:r>
                <w:proofErr w:type="spellEnd"/>
                <w:r>
                  <w:t xml:space="preserve">, the last Prince of Wales, and the political extinction of Wales as an independent nation. Here the text is taken from two medieval Welsh poems and the description of the fall of Troy in the </w:t>
                </w:r>
                <w:proofErr w:type="spellStart"/>
                <w:r>
                  <w:rPr>
                    <w:i/>
                  </w:rPr>
                  <w:t>Aeneid</w:t>
                </w:r>
                <w:proofErr w:type="spellEnd"/>
                <w:r>
                  <w:rPr>
                    <w:i/>
                  </w:rPr>
                  <w:t>.</w:t>
                </w:r>
                <w:r>
                  <w:t xml:space="preserve"> Jones translated the title of this late and powerfully tragic </w:t>
                </w:r>
                <w:proofErr w:type="gramStart"/>
                <w:r>
                  <w:t>poem-painting</w:t>
                </w:r>
                <w:proofErr w:type="gramEnd"/>
                <w:r>
                  <w:t xml:space="preserve"> as ‘poor old Wales buggered up’.</w:t>
                </w:r>
              </w:p>
              <w:p w14:paraId="4A07DC50" w14:textId="77777777" w:rsidR="00D925B8" w:rsidRDefault="00D925B8" w:rsidP="00187FE4"/>
              <w:p w14:paraId="0E98B116" w14:textId="1A231D1E" w:rsidR="00D925B8" w:rsidRDefault="00D925B8" w:rsidP="00187FE4">
                <w:r>
                  <w:t>File: Nam</w:t>
                </w:r>
                <w:r w:rsidRPr="00D925B8">
                  <w:t>Sybillam</w:t>
                </w:r>
                <w:r>
                  <w:t>.jpg</w:t>
                </w:r>
              </w:p>
              <w:p w14:paraId="048A6CD5" w14:textId="78F943FC" w:rsidR="00D925B8" w:rsidRPr="00D925B8" w:rsidRDefault="006F0167" w:rsidP="00D925B8">
                <w:pPr>
                  <w:rPr>
                    <w:color w:val="5B9BD5" w:themeColor="accent1"/>
                    <w:sz w:val="18"/>
                    <w:szCs w:val="18"/>
                  </w:rPr>
                </w:pPr>
                <w:r w:rsidRPr="006F0167">
                  <w:rPr>
                    <w:color w:val="5B9BD5" w:themeColor="accent1"/>
                    <w:sz w:val="18"/>
                    <w:szCs w:val="18"/>
                  </w:rPr>
                  <w:t>Fig. 3:</w:t>
                </w:r>
                <w:r>
                  <w:rPr>
                    <w:i/>
                    <w:color w:val="5B9BD5" w:themeColor="accent1"/>
                    <w:sz w:val="18"/>
                    <w:szCs w:val="18"/>
                  </w:rPr>
                  <w:t xml:space="preserve"> </w:t>
                </w:r>
                <w:r w:rsidR="00D925B8" w:rsidRPr="00D925B8">
                  <w:rPr>
                    <w:i/>
                    <w:color w:val="5B9BD5" w:themeColor="accent1"/>
                    <w:sz w:val="18"/>
                    <w:szCs w:val="18"/>
                  </w:rPr>
                  <w:t xml:space="preserve">Nam </w:t>
                </w:r>
                <w:proofErr w:type="spellStart"/>
                <w:r w:rsidR="00D925B8" w:rsidRPr="00D925B8">
                  <w:rPr>
                    <w:i/>
                    <w:color w:val="5B9BD5" w:themeColor="accent1"/>
                    <w:sz w:val="18"/>
                    <w:szCs w:val="18"/>
                  </w:rPr>
                  <w:t>Sybillam</w:t>
                </w:r>
                <w:proofErr w:type="spellEnd"/>
                <w:r w:rsidR="00D925B8" w:rsidRPr="00D925B8">
                  <w:rPr>
                    <w:color w:val="5B9BD5" w:themeColor="accent1"/>
                    <w:sz w:val="18"/>
                    <w:szCs w:val="18"/>
                  </w:rPr>
                  <w:t xml:space="preserve"> (1958); opaque watercolour on an under-painting of Chinese white. Reproduced as frontispiece in </w:t>
                </w:r>
                <w:r w:rsidR="00D925B8" w:rsidRPr="00D925B8">
                  <w:rPr>
                    <w:i/>
                    <w:color w:val="5B9BD5" w:themeColor="accent1"/>
                    <w:sz w:val="18"/>
                    <w:szCs w:val="18"/>
                  </w:rPr>
                  <w:t>Symposium for T.S. Eliot’s Seventieth Birthday</w:t>
                </w:r>
                <w:r w:rsidR="00D925B8" w:rsidRPr="00D925B8">
                  <w:rPr>
                    <w:color w:val="5B9BD5" w:themeColor="accent1"/>
                    <w:sz w:val="18"/>
                    <w:szCs w:val="18"/>
                  </w:rPr>
                  <w:t xml:space="preserve"> (1958); Estate of Valerie Eliot</w:t>
                </w:r>
              </w:p>
              <w:p w14:paraId="4D4239AE" w14:textId="77777777" w:rsidR="00BF5ACA" w:rsidRDefault="00BF5ACA" w:rsidP="00C27FAB"/>
              <w:p w14:paraId="00ABAC2B" w14:textId="77777777" w:rsidR="00BF5ACA" w:rsidRDefault="00BF5ACA" w:rsidP="00BF5ACA">
                <w:pPr>
                  <w:pStyle w:val="Heading1"/>
                  <w:outlineLvl w:val="0"/>
                </w:pPr>
                <w:r>
                  <w:lastRenderedPageBreak/>
                  <w:t>List of Works:</w:t>
                </w:r>
              </w:p>
              <w:p w14:paraId="54F8ACEF" w14:textId="77777777" w:rsidR="00BF5ACA" w:rsidRDefault="00BF5ACA" w:rsidP="00BF5ACA">
                <w:r>
                  <w:rPr>
                    <w:i/>
                  </w:rPr>
                  <w:t xml:space="preserve">In Parenthesis </w:t>
                </w:r>
                <w:r>
                  <w:t>(1937)</w:t>
                </w:r>
              </w:p>
              <w:p w14:paraId="630F3952" w14:textId="77777777" w:rsidR="00BF5ACA" w:rsidRDefault="00BF5ACA" w:rsidP="00BF5ACA">
                <w:r>
                  <w:rPr>
                    <w:i/>
                  </w:rPr>
                  <w:t xml:space="preserve">The </w:t>
                </w:r>
                <w:proofErr w:type="spellStart"/>
                <w:r>
                  <w:rPr>
                    <w:i/>
                  </w:rPr>
                  <w:t>Anathemata</w:t>
                </w:r>
                <w:proofErr w:type="spellEnd"/>
                <w:r>
                  <w:t xml:space="preserve"> (1952) </w:t>
                </w:r>
              </w:p>
              <w:p w14:paraId="5A16E4B1" w14:textId="77777777" w:rsidR="00BF5ACA" w:rsidRPr="00152DEF" w:rsidRDefault="00BF5ACA" w:rsidP="00BF5ACA">
                <w:r>
                  <w:rPr>
                    <w:i/>
                  </w:rPr>
                  <w:t>Epoch and Artist</w:t>
                </w:r>
                <w:r>
                  <w:t xml:space="preserve"> (1959)</w:t>
                </w:r>
              </w:p>
              <w:p w14:paraId="3B503557" w14:textId="77777777" w:rsidR="00BF5ACA" w:rsidRDefault="00BF5ACA" w:rsidP="00BF5ACA">
                <w:r>
                  <w:rPr>
                    <w:i/>
                  </w:rPr>
                  <w:t>The Sleeping Lord</w:t>
                </w:r>
                <w:r>
                  <w:t xml:space="preserve"> (1974) </w:t>
                </w:r>
              </w:p>
              <w:p w14:paraId="0F1B18AF" w14:textId="77777777" w:rsidR="00BF5ACA" w:rsidRDefault="00BF5ACA" w:rsidP="00BF5ACA">
                <w:r>
                  <w:rPr>
                    <w:i/>
                  </w:rPr>
                  <w:t>The Dying Gaul and Other Writings</w:t>
                </w:r>
                <w:r>
                  <w:t xml:space="preserve"> (1978)</w:t>
                </w:r>
              </w:p>
              <w:p w14:paraId="3256D1FE" w14:textId="4D377DEA" w:rsidR="003F0D73" w:rsidRPr="00BF5ACA" w:rsidRDefault="00BF5ACA" w:rsidP="00BF5ACA">
                <w:r>
                  <w:rPr>
                    <w:i/>
                  </w:rPr>
                  <w:t>The Roman Quarry and Other Sequences</w:t>
                </w:r>
                <w:r>
                  <w:t xml:space="preserve"> (1981)</w:t>
                </w:r>
              </w:p>
            </w:tc>
          </w:sdtContent>
        </w:sdt>
      </w:tr>
      <w:tr w:rsidR="003235A7" w14:paraId="70EEB400" w14:textId="77777777" w:rsidTr="003235A7">
        <w:tc>
          <w:tcPr>
            <w:tcW w:w="9016" w:type="dxa"/>
          </w:tcPr>
          <w:p w14:paraId="1905623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9430A7C0FC66541AA18BB74364161A4"/>
              </w:placeholder>
            </w:sdtPr>
            <w:sdtEndPr/>
            <w:sdtContent>
              <w:p w14:paraId="4AA06FFF" w14:textId="355A935B" w:rsidR="00AE2F6A" w:rsidRDefault="00AE2F6A" w:rsidP="00BF5ACA">
                <w:pPr>
                  <w:rPr>
                    <w:rFonts w:ascii="Calibri" w:hAnsi="Calibri"/>
                  </w:rPr>
                </w:pPr>
                <w:sdt>
                  <w:sdtPr>
                    <w:rPr>
                      <w:rFonts w:ascii="Calibri" w:hAnsi="Calibri"/>
                    </w:rPr>
                    <w:id w:val="-149371772"/>
                    <w:citation/>
                  </w:sdtPr>
                  <w:sdtContent>
                    <w:r w:rsidRPr="00AE2F6A">
                      <w:rPr>
                        <w:rFonts w:ascii="Calibri" w:hAnsi="Calibri"/>
                      </w:rPr>
                      <w:fldChar w:fldCharType="begin"/>
                    </w:r>
                    <w:r w:rsidRPr="00AE2F6A">
                      <w:rPr>
                        <w:rFonts w:ascii="Calibri" w:hAnsi="Calibri" w:cs="Courier"/>
                        <w:color w:val="000000"/>
                        <w:lang w:val="en-US"/>
                      </w:rPr>
                      <w:instrText xml:space="preserve"> CITATION Aud54 \l 1033 </w:instrText>
                    </w:r>
                    <w:r w:rsidRPr="00AE2F6A">
                      <w:rPr>
                        <w:rFonts w:ascii="Calibri" w:hAnsi="Calibri"/>
                      </w:rPr>
                      <w:fldChar w:fldCharType="separate"/>
                    </w:r>
                    <w:r>
                      <w:rPr>
                        <w:rFonts w:ascii="Calibri" w:hAnsi="Calibri" w:cs="Courier"/>
                        <w:noProof/>
                        <w:color w:val="000000"/>
                        <w:lang w:val="en-US"/>
                      </w:rPr>
                      <w:t xml:space="preserve"> </w:t>
                    </w:r>
                    <w:r w:rsidRPr="00AE2F6A">
                      <w:rPr>
                        <w:rFonts w:ascii="Calibri" w:hAnsi="Calibri" w:cs="Courier"/>
                        <w:noProof/>
                        <w:color w:val="000000"/>
                        <w:lang w:val="en-US"/>
                      </w:rPr>
                      <w:t>(Auden)</w:t>
                    </w:r>
                    <w:r w:rsidRPr="00AE2F6A">
                      <w:rPr>
                        <w:rFonts w:ascii="Calibri" w:hAnsi="Calibri"/>
                      </w:rPr>
                      <w:fldChar w:fldCharType="end"/>
                    </w:r>
                  </w:sdtContent>
                </w:sdt>
              </w:p>
              <w:p w14:paraId="504B84AC" w14:textId="77777777" w:rsidR="00AE2F6A" w:rsidRDefault="00AE2F6A" w:rsidP="00BF5ACA"/>
              <w:p w14:paraId="7E965F20" w14:textId="07F556E4" w:rsidR="00BF5ACA" w:rsidRDefault="00AE2F6A" w:rsidP="00BF5ACA">
                <w:sdt>
                  <w:sdtPr>
                    <w:id w:val="-1203636849"/>
                    <w:citation/>
                  </w:sdtPr>
                  <w:sdtEndPr/>
                  <w:sdtContent>
                    <w:r w:rsidR="00BF5ACA">
                      <w:fldChar w:fldCharType="begin"/>
                    </w:r>
                    <w:r w:rsidR="00BF5ACA">
                      <w:rPr>
                        <w:lang w:val="en-US"/>
                      </w:rPr>
                      <w:instrText xml:space="preserve"> CITATION Dil12 \l 1033 </w:instrText>
                    </w:r>
                    <w:r w:rsidR="00BF5ACA">
                      <w:fldChar w:fldCharType="separate"/>
                    </w:r>
                    <w:r w:rsidR="00BF5ACA">
                      <w:rPr>
                        <w:noProof/>
                        <w:lang w:val="en-US"/>
                      </w:rPr>
                      <w:t xml:space="preserve"> (Dilworth)</w:t>
                    </w:r>
                    <w:r w:rsidR="00BF5ACA">
                      <w:fldChar w:fldCharType="end"/>
                    </w:r>
                  </w:sdtContent>
                </w:sdt>
              </w:p>
              <w:p w14:paraId="69CC4BD4" w14:textId="77777777" w:rsidR="00BF5ACA" w:rsidRDefault="00BF5ACA" w:rsidP="00BF5ACA"/>
              <w:p w14:paraId="5D85F1EF" w14:textId="77777777" w:rsidR="00BF5ACA" w:rsidRDefault="00AE2F6A" w:rsidP="00BF5ACA">
                <w:sdt>
                  <w:sdtPr>
                    <w:id w:val="456617120"/>
                    <w:citation/>
                  </w:sdtPr>
                  <w:sdtEndPr/>
                  <w:sdtContent>
                    <w:r w:rsidR="00BF5ACA">
                      <w:fldChar w:fldCharType="begin"/>
                    </w:r>
                    <w:r w:rsidR="00BF5ACA">
                      <w:rPr>
                        <w:lang w:val="en-US"/>
                      </w:rPr>
                      <w:instrText xml:space="preserve"> CITATION Dil08 \l 1033 </w:instrText>
                    </w:r>
                    <w:r w:rsidR="00BF5ACA">
                      <w:fldChar w:fldCharType="separate"/>
                    </w:r>
                    <w:r w:rsidR="00BF5ACA">
                      <w:rPr>
                        <w:noProof/>
                        <w:lang w:val="en-US"/>
                      </w:rPr>
                      <w:t>(Dilworth, Reading David Jones)</w:t>
                    </w:r>
                    <w:r w:rsidR="00BF5ACA">
                      <w:fldChar w:fldCharType="end"/>
                    </w:r>
                  </w:sdtContent>
                </w:sdt>
              </w:p>
              <w:p w14:paraId="769F4991" w14:textId="77777777" w:rsidR="00BF5ACA" w:rsidRDefault="00BF5ACA" w:rsidP="00BF5ACA"/>
              <w:p w14:paraId="57D64785" w14:textId="77777777" w:rsidR="00BF5ACA" w:rsidRDefault="00AE2F6A" w:rsidP="00BF5ACA">
                <w:sdt>
                  <w:sdtPr>
                    <w:id w:val="-1503504117"/>
                    <w:citation/>
                  </w:sdtPr>
                  <w:sdtEndPr/>
                  <w:sdtContent>
                    <w:r w:rsidR="00BF5ACA">
                      <w:fldChar w:fldCharType="begin"/>
                    </w:r>
                    <w:r w:rsidR="00BF5ACA">
                      <w:rPr>
                        <w:lang w:val="en-US"/>
                      </w:rPr>
                      <w:instrText xml:space="preserve"> CITATION Gra80 \l 1033 </w:instrText>
                    </w:r>
                    <w:r w:rsidR="00BF5ACA">
                      <w:fldChar w:fldCharType="separate"/>
                    </w:r>
                    <w:r w:rsidR="00BF5ACA">
                      <w:rPr>
                        <w:noProof/>
                        <w:lang w:val="en-US"/>
                      </w:rPr>
                      <w:t>(Gray)</w:t>
                    </w:r>
                    <w:r w:rsidR="00BF5ACA">
                      <w:fldChar w:fldCharType="end"/>
                    </w:r>
                  </w:sdtContent>
                </w:sdt>
              </w:p>
              <w:p w14:paraId="52829F4B" w14:textId="77777777" w:rsidR="00BF5ACA" w:rsidRDefault="00BF5ACA" w:rsidP="00BF5ACA"/>
              <w:p w14:paraId="7825E240" w14:textId="77777777" w:rsidR="00BF5ACA" w:rsidRDefault="00AE2F6A" w:rsidP="00BF5ACA">
                <w:sdt>
                  <w:sdtPr>
                    <w:id w:val="-277407081"/>
                    <w:citation/>
                  </w:sdtPr>
                  <w:sdtEndPr/>
                  <w:sdtContent>
                    <w:r w:rsidR="00BF5ACA">
                      <w:fldChar w:fldCharType="begin"/>
                    </w:r>
                    <w:r w:rsidR="00BF5ACA">
                      <w:rPr>
                        <w:lang w:val="en-US"/>
                      </w:rPr>
                      <w:instrText xml:space="preserve">CITATION Mil \l 1033 </w:instrText>
                    </w:r>
                    <w:r w:rsidR="00BF5ACA">
                      <w:fldChar w:fldCharType="separate"/>
                    </w:r>
                    <w:r w:rsidR="00BF5ACA">
                      <w:rPr>
                        <w:noProof/>
                        <w:lang w:val="en-US"/>
                      </w:rPr>
                      <w:t>(Miles and Shiel)</w:t>
                    </w:r>
                    <w:r w:rsidR="00BF5ACA">
                      <w:fldChar w:fldCharType="end"/>
                    </w:r>
                  </w:sdtContent>
                </w:sdt>
              </w:p>
              <w:p w14:paraId="6065A191" w14:textId="77777777" w:rsidR="00BF5ACA" w:rsidRDefault="00BF5ACA" w:rsidP="00BF5ACA"/>
              <w:p w14:paraId="35F41C4E" w14:textId="475CB534" w:rsidR="003235A7" w:rsidRDefault="00AE2F6A" w:rsidP="00BF5ACA">
                <w:sdt>
                  <w:sdtPr>
                    <w:id w:val="1016189252"/>
                    <w:citation/>
                  </w:sdtPr>
                  <w:sdtEndPr/>
                  <w:sdtContent>
                    <w:r w:rsidR="00BF5ACA">
                      <w:fldChar w:fldCharType="begin"/>
                    </w:r>
                    <w:r w:rsidR="00BF5ACA">
                      <w:rPr>
                        <w:lang w:val="en-US"/>
                      </w:rPr>
                      <w:instrText xml:space="preserve"> CITATION Rob07 \l 1033 </w:instrText>
                    </w:r>
                    <w:r w:rsidR="00BF5ACA">
                      <w:fldChar w:fldCharType="separate"/>
                    </w:r>
                    <w:r w:rsidR="00BF5ACA">
                      <w:rPr>
                        <w:noProof/>
                        <w:lang w:val="en-US"/>
                      </w:rPr>
                      <w:t>(Robichaud)</w:t>
                    </w:r>
                    <w:r w:rsidR="00BF5ACA">
                      <w:fldChar w:fldCharType="end"/>
                    </w:r>
                  </w:sdtContent>
                </w:sdt>
              </w:p>
            </w:sdtContent>
          </w:sdt>
        </w:tc>
      </w:tr>
    </w:tbl>
    <w:p w14:paraId="107C51C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25567" w14:textId="77777777" w:rsidR="00D925B8" w:rsidRDefault="00D925B8" w:rsidP="007A0D55">
      <w:pPr>
        <w:spacing w:after="0" w:line="240" w:lineRule="auto"/>
      </w:pPr>
      <w:r>
        <w:separator/>
      </w:r>
    </w:p>
  </w:endnote>
  <w:endnote w:type="continuationSeparator" w:id="0">
    <w:p w14:paraId="626156F2" w14:textId="77777777" w:rsidR="00D925B8" w:rsidRDefault="00D925B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59D074" w14:textId="77777777" w:rsidR="00D925B8" w:rsidRDefault="00D925B8" w:rsidP="007A0D55">
      <w:pPr>
        <w:spacing w:after="0" w:line="240" w:lineRule="auto"/>
      </w:pPr>
      <w:r>
        <w:separator/>
      </w:r>
    </w:p>
  </w:footnote>
  <w:footnote w:type="continuationSeparator" w:id="0">
    <w:p w14:paraId="20B128A1" w14:textId="77777777" w:rsidR="00D925B8" w:rsidRDefault="00D925B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2CDD3" w14:textId="77777777" w:rsidR="00D925B8" w:rsidRDefault="00D925B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13EC548" w14:textId="77777777" w:rsidR="00D925B8" w:rsidRDefault="00D925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FE4"/>
    <w:rsid w:val="00032559"/>
    <w:rsid w:val="00052040"/>
    <w:rsid w:val="000B25AE"/>
    <w:rsid w:val="000B55AB"/>
    <w:rsid w:val="000D24DC"/>
    <w:rsid w:val="00101B2E"/>
    <w:rsid w:val="00116FA0"/>
    <w:rsid w:val="0015114C"/>
    <w:rsid w:val="00187FE4"/>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0167"/>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2F6A"/>
    <w:rsid w:val="00B219AE"/>
    <w:rsid w:val="00B33145"/>
    <w:rsid w:val="00B574C9"/>
    <w:rsid w:val="00BC39C9"/>
    <w:rsid w:val="00BE5BF7"/>
    <w:rsid w:val="00BF40E1"/>
    <w:rsid w:val="00BF5ACA"/>
    <w:rsid w:val="00C27FAB"/>
    <w:rsid w:val="00C358D4"/>
    <w:rsid w:val="00C6296B"/>
    <w:rsid w:val="00CC586D"/>
    <w:rsid w:val="00CF1542"/>
    <w:rsid w:val="00CF3EC5"/>
    <w:rsid w:val="00D656DA"/>
    <w:rsid w:val="00D83300"/>
    <w:rsid w:val="00D925B8"/>
    <w:rsid w:val="00DB1368"/>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F3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87FE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7FE4"/>
    <w:rPr>
      <w:rFonts w:ascii="Lucida Grande" w:hAnsi="Lucida Grande" w:cs="Lucida Grande"/>
      <w:sz w:val="18"/>
      <w:szCs w:val="18"/>
    </w:rPr>
  </w:style>
  <w:style w:type="character" w:styleId="Strong">
    <w:name w:val="Strong"/>
    <w:basedOn w:val="DefaultParagraphFont"/>
    <w:uiPriority w:val="22"/>
    <w:qFormat/>
    <w:rsid w:val="00D925B8"/>
    <w:rPr>
      <w:b/>
      <w:bCs/>
    </w:rPr>
  </w:style>
  <w:style w:type="character" w:styleId="CommentReference">
    <w:name w:val="annotation reference"/>
    <w:basedOn w:val="DefaultParagraphFont"/>
    <w:uiPriority w:val="99"/>
    <w:semiHidden/>
    <w:rsid w:val="00DB1368"/>
    <w:rPr>
      <w:sz w:val="18"/>
      <w:szCs w:val="18"/>
    </w:rPr>
  </w:style>
  <w:style w:type="paragraph" w:styleId="CommentText">
    <w:name w:val="annotation text"/>
    <w:basedOn w:val="Normal"/>
    <w:link w:val="CommentTextChar"/>
    <w:uiPriority w:val="99"/>
    <w:semiHidden/>
    <w:rsid w:val="00DB1368"/>
    <w:pPr>
      <w:spacing w:line="240" w:lineRule="auto"/>
    </w:pPr>
    <w:rPr>
      <w:sz w:val="24"/>
      <w:szCs w:val="24"/>
    </w:rPr>
  </w:style>
  <w:style w:type="character" w:customStyle="1" w:styleId="CommentTextChar">
    <w:name w:val="Comment Text Char"/>
    <w:basedOn w:val="DefaultParagraphFont"/>
    <w:link w:val="CommentText"/>
    <w:uiPriority w:val="99"/>
    <w:semiHidden/>
    <w:rsid w:val="00DB1368"/>
    <w:rPr>
      <w:sz w:val="24"/>
      <w:szCs w:val="24"/>
    </w:rPr>
  </w:style>
  <w:style w:type="paragraph" w:styleId="CommentSubject">
    <w:name w:val="annotation subject"/>
    <w:basedOn w:val="CommentText"/>
    <w:next w:val="CommentText"/>
    <w:link w:val="CommentSubjectChar"/>
    <w:uiPriority w:val="99"/>
    <w:semiHidden/>
    <w:rsid w:val="00DB1368"/>
    <w:rPr>
      <w:b/>
      <w:bCs/>
      <w:sz w:val="20"/>
      <w:szCs w:val="20"/>
    </w:rPr>
  </w:style>
  <w:style w:type="character" w:customStyle="1" w:styleId="CommentSubjectChar">
    <w:name w:val="Comment Subject Char"/>
    <w:basedOn w:val="CommentTextChar"/>
    <w:link w:val="CommentSubject"/>
    <w:uiPriority w:val="99"/>
    <w:semiHidden/>
    <w:rsid w:val="00DB136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87FE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7FE4"/>
    <w:rPr>
      <w:rFonts w:ascii="Lucida Grande" w:hAnsi="Lucida Grande" w:cs="Lucida Grande"/>
      <w:sz w:val="18"/>
      <w:szCs w:val="18"/>
    </w:rPr>
  </w:style>
  <w:style w:type="character" w:styleId="Strong">
    <w:name w:val="Strong"/>
    <w:basedOn w:val="DefaultParagraphFont"/>
    <w:uiPriority w:val="22"/>
    <w:qFormat/>
    <w:rsid w:val="00D925B8"/>
    <w:rPr>
      <w:b/>
      <w:bCs/>
    </w:rPr>
  </w:style>
  <w:style w:type="character" w:styleId="CommentReference">
    <w:name w:val="annotation reference"/>
    <w:basedOn w:val="DefaultParagraphFont"/>
    <w:uiPriority w:val="99"/>
    <w:semiHidden/>
    <w:rsid w:val="00DB1368"/>
    <w:rPr>
      <w:sz w:val="18"/>
      <w:szCs w:val="18"/>
    </w:rPr>
  </w:style>
  <w:style w:type="paragraph" w:styleId="CommentText">
    <w:name w:val="annotation text"/>
    <w:basedOn w:val="Normal"/>
    <w:link w:val="CommentTextChar"/>
    <w:uiPriority w:val="99"/>
    <w:semiHidden/>
    <w:rsid w:val="00DB1368"/>
    <w:pPr>
      <w:spacing w:line="240" w:lineRule="auto"/>
    </w:pPr>
    <w:rPr>
      <w:sz w:val="24"/>
      <w:szCs w:val="24"/>
    </w:rPr>
  </w:style>
  <w:style w:type="character" w:customStyle="1" w:styleId="CommentTextChar">
    <w:name w:val="Comment Text Char"/>
    <w:basedOn w:val="DefaultParagraphFont"/>
    <w:link w:val="CommentText"/>
    <w:uiPriority w:val="99"/>
    <w:semiHidden/>
    <w:rsid w:val="00DB1368"/>
    <w:rPr>
      <w:sz w:val="24"/>
      <w:szCs w:val="24"/>
    </w:rPr>
  </w:style>
  <w:style w:type="paragraph" w:styleId="CommentSubject">
    <w:name w:val="annotation subject"/>
    <w:basedOn w:val="CommentText"/>
    <w:next w:val="CommentText"/>
    <w:link w:val="CommentSubjectChar"/>
    <w:uiPriority w:val="99"/>
    <w:semiHidden/>
    <w:rsid w:val="00DB1368"/>
    <w:rPr>
      <w:b/>
      <w:bCs/>
      <w:sz w:val="20"/>
      <w:szCs w:val="20"/>
    </w:rPr>
  </w:style>
  <w:style w:type="character" w:customStyle="1" w:styleId="CommentSubjectChar">
    <w:name w:val="Comment Subject Char"/>
    <w:basedOn w:val="CommentTextChar"/>
    <w:link w:val="CommentSubject"/>
    <w:uiPriority w:val="99"/>
    <w:semiHidden/>
    <w:rsid w:val="00DB13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97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1A3233967229438B0EF97FBA8BA110"/>
        <w:category>
          <w:name w:val="General"/>
          <w:gallery w:val="placeholder"/>
        </w:category>
        <w:types>
          <w:type w:val="bbPlcHdr"/>
        </w:types>
        <w:behaviors>
          <w:behavior w:val="content"/>
        </w:behaviors>
        <w:guid w:val="{4DDEAE4B-07C3-264C-8403-5362645F5CF1}"/>
      </w:docPartPr>
      <w:docPartBody>
        <w:p w:rsidR="001E08C1" w:rsidRDefault="001E08C1">
          <w:pPr>
            <w:pStyle w:val="A51A3233967229438B0EF97FBA8BA110"/>
          </w:pPr>
          <w:r w:rsidRPr="00CC586D">
            <w:rPr>
              <w:rStyle w:val="PlaceholderText"/>
              <w:b/>
              <w:color w:val="FFFFFF" w:themeColor="background1"/>
            </w:rPr>
            <w:t>[Salutation]</w:t>
          </w:r>
        </w:p>
      </w:docPartBody>
    </w:docPart>
    <w:docPart>
      <w:docPartPr>
        <w:name w:val="730BA522F5BF284893839FB406829553"/>
        <w:category>
          <w:name w:val="General"/>
          <w:gallery w:val="placeholder"/>
        </w:category>
        <w:types>
          <w:type w:val="bbPlcHdr"/>
        </w:types>
        <w:behaviors>
          <w:behavior w:val="content"/>
        </w:behaviors>
        <w:guid w:val="{88A84E89-499F-5D41-94B4-DE8A02CDD365}"/>
      </w:docPartPr>
      <w:docPartBody>
        <w:p w:rsidR="001E08C1" w:rsidRDefault="001E08C1">
          <w:pPr>
            <w:pStyle w:val="730BA522F5BF284893839FB406829553"/>
          </w:pPr>
          <w:r>
            <w:rPr>
              <w:rStyle w:val="PlaceholderText"/>
            </w:rPr>
            <w:t>[First name]</w:t>
          </w:r>
        </w:p>
      </w:docPartBody>
    </w:docPart>
    <w:docPart>
      <w:docPartPr>
        <w:name w:val="C38F0758A3D1F34A8CDA7EB010B2E8EC"/>
        <w:category>
          <w:name w:val="General"/>
          <w:gallery w:val="placeholder"/>
        </w:category>
        <w:types>
          <w:type w:val="bbPlcHdr"/>
        </w:types>
        <w:behaviors>
          <w:behavior w:val="content"/>
        </w:behaviors>
        <w:guid w:val="{F4BA78E9-6A00-A648-AEC2-BD143C3BE7B5}"/>
      </w:docPartPr>
      <w:docPartBody>
        <w:p w:rsidR="001E08C1" w:rsidRDefault="001E08C1">
          <w:pPr>
            <w:pStyle w:val="C38F0758A3D1F34A8CDA7EB010B2E8EC"/>
          </w:pPr>
          <w:r>
            <w:rPr>
              <w:rStyle w:val="PlaceholderText"/>
            </w:rPr>
            <w:t>[Middle name]</w:t>
          </w:r>
        </w:p>
      </w:docPartBody>
    </w:docPart>
    <w:docPart>
      <w:docPartPr>
        <w:name w:val="3A2139D931AA174288DCCCEC8E04B39E"/>
        <w:category>
          <w:name w:val="General"/>
          <w:gallery w:val="placeholder"/>
        </w:category>
        <w:types>
          <w:type w:val="bbPlcHdr"/>
        </w:types>
        <w:behaviors>
          <w:behavior w:val="content"/>
        </w:behaviors>
        <w:guid w:val="{0813354B-C182-984B-A181-C3155C15D536}"/>
      </w:docPartPr>
      <w:docPartBody>
        <w:p w:rsidR="001E08C1" w:rsidRDefault="001E08C1">
          <w:pPr>
            <w:pStyle w:val="3A2139D931AA174288DCCCEC8E04B39E"/>
          </w:pPr>
          <w:r>
            <w:rPr>
              <w:rStyle w:val="PlaceholderText"/>
            </w:rPr>
            <w:t>[Last name]</w:t>
          </w:r>
        </w:p>
      </w:docPartBody>
    </w:docPart>
    <w:docPart>
      <w:docPartPr>
        <w:name w:val="BB1E728039AF9747AA529BFE0857CD81"/>
        <w:category>
          <w:name w:val="General"/>
          <w:gallery w:val="placeholder"/>
        </w:category>
        <w:types>
          <w:type w:val="bbPlcHdr"/>
        </w:types>
        <w:behaviors>
          <w:behavior w:val="content"/>
        </w:behaviors>
        <w:guid w:val="{08A37886-CA19-784B-B751-A9726C6E3FB6}"/>
      </w:docPartPr>
      <w:docPartBody>
        <w:p w:rsidR="001E08C1" w:rsidRDefault="001E08C1">
          <w:pPr>
            <w:pStyle w:val="BB1E728039AF9747AA529BFE0857CD81"/>
          </w:pPr>
          <w:r>
            <w:rPr>
              <w:rStyle w:val="PlaceholderText"/>
            </w:rPr>
            <w:t>[Enter your biography]</w:t>
          </w:r>
        </w:p>
      </w:docPartBody>
    </w:docPart>
    <w:docPart>
      <w:docPartPr>
        <w:name w:val="9A5B99A1A42941438E6A3619E28E6CE2"/>
        <w:category>
          <w:name w:val="General"/>
          <w:gallery w:val="placeholder"/>
        </w:category>
        <w:types>
          <w:type w:val="bbPlcHdr"/>
        </w:types>
        <w:behaviors>
          <w:behavior w:val="content"/>
        </w:behaviors>
        <w:guid w:val="{9156BBAD-65DD-EA42-943D-66E77C6A3FDB}"/>
      </w:docPartPr>
      <w:docPartBody>
        <w:p w:rsidR="001E08C1" w:rsidRDefault="001E08C1">
          <w:pPr>
            <w:pStyle w:val="9A5B99A1A42941438E6A3619E28E6CE2"/>
          </w:pPr>
          <w:r>
            <w:rPr>
              <w:rStyle w:val="PlaceholderText"/>
            </w:rPr>
            <w:t>[Enter the institution with which you are affiliated]</w:t>
          </w:r>
        </w:p>
      </w:docPartBody>
    </w:docPart>
    <w:docPart>
      <w:docPartPr>
        <w:name w:val="C07D847B9007714EA6494CD3804E627D"/>
        <w:category>
          <w:name w:val="General"/>
          <w:gallery w:val="placeholder"/>
        </w:category>
        <w:types>
          <w:type w:val="bbPlcHdr"/>
        </w:types>
        <w:behaviors>
          <w:behavior w:val="content"/>
        </w:behaviors>
        <w:guid w:val="{C819F8D6-DC8B-8248-BE5B-FD9E799E0DA2}"/>
      </w:docPartPr>
      <w:docPartBody>
        <w:p w:rsidR="001E08C1" w:rsidRDefault="001E08C1">
          <w:pPr>
            <w:pStyle w:val="C07D847B9007714EA6494CD3804E627D"/>
          </w:pPr>
          <w:r w:rsidRPr="00EF74F7">
            <w:rPr>
              <w:b/>
              <w:color w:val="808080" w:themeColor="background1" w:themeShade="80"/>
            </w:rPr>
            <w:t>[Enter the headword for your article]</w:t>
          </w:r>
        </w:p>
      </w:docPartBody>
    </w:docPart>
    <w:docPart>
      <w:docPartPr>
        <w:name w:val="F110CBC9E351484789315C1E8F544AF2"/>
        <w:category>
          <w:name w:val="General"/>
          <w:gallery w:val="placeholder"/>
        </w:category>
        <w:types>
          <w:type w:val="bbPlcHdr"/>
        </w:types>
        <w:behaviors>
          <w:behavior w:val="content"/>
        </w:behaviors>
        <w:guid w:val="{FC47072F-E460-2E45-BF12-FDA449122A26}"/>
      </w:docPartPr>
      <w:docPartBody>
        <w:p w:rsidR="001E08C1" w:rsidRDefault="001E08C1">
          <w:pPr>
            <w:pStyle w:val="F110CBC9E351484789315C1E8F544A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6ECFA9418AA824EAE055C4627B20646"/>
        <w:category>
          <w:name w:val="General"/>
          <w:gallery w:val="placeholder"/>
        </w:category>
        <w:types>
          <w:type w:val="bbPlcHdr"/>
        </w:types>
        <w:behaviors>
          <w:behavior w:val="content"/>
        </w:behaviors>
        <w:guid w:val="{760A4A5D-7212-3F41-B8A5-766BBD2E8C1E}"/>
      </w:docPartPr>
      <w:docPartBody>
        <w:p w:rsidR="001E08C1" w:rsidRDefault="001E08C1">
          <w:pPr>
            <w:pStyle w:val="76ECFA9418AA824EAE055C4627B2064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07D4F44E7787A4695225E4032045E52"/>
        <w:category>
          <w:name w:val="General"/>
          <w:gallery w:val="placeholder"/>
        </w:category>
        <w:types>
          <w:type w:val="bbPlcHdr"/>
        </w:types>
        <w:behaviors>
          <w:behavior w:val="content"/>
        </w:behaviors>
        <w:guid w:val="{C96C0E43-79B5-7448-B99C-D6C7373425C5}"/>
      </w:docPartPr>
      <w:docPartBody>
        <w:p w:rsidR="001E08C1" w:rsidRDefault="001E08C1">
          <w:pPr>
            <w:pStyle w:val="C07D4F44E7787A4695225E4032045E5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9430A7C0FC66541AA18BB74364161A4"/>
        <w:category>
          <w:name w:val="General"/>
          <w:gallery w:val="placeholder"/>
        </w:category>
        <w:types>
          <w:type w:val="bbPlcHdr"/>
        </w:types>
        <w:behaviors>
          <w:behavior w:val="content"/>
        </w:behaviors>
        <w:guid w:val="{BDB3DCD0-FCBE-8A4D-9D07-93708C247695}"/>
      </w:docPartPr>
      <w:docPartBody>
        <w:p w:rsidR="001E08C1" w:rsidRDefault="001E08C1">
          <w:pPr>
            <w:pStyle w:val="89430A7C0FC66541AA18BB74364161A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8C1"/>
    <w:rsid w:val="001E08C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1A3233967229438B0EF97FBA8BA110">
    <w:name w:val="A51A3233967229438B0EF97FBA8BA110"/>
  </w:style>
  <w:style w:type="paragraph" w:customStyle="1" w:styleId="730BA522F5BF284893839FB406829553">
    <w:name w:val="730BA522F5BF284893839FB406829553"/>
  </w:style>
  <w:style w:type="paragraph" w:customStyle="1" w:styleId="C38F0758A3D1F34A8CDA7EB010B2E8EC">
    <w:name w:val="C38F0758A3D1F34A8CDA7EB010B2E8EC"/>
  </w:style>
  <w:style w:type="paragraph" w:customStyle="1" w:styleId="3A2139D931AA174288DCCCEC8E04B39E">
    <w:name w:val="3A2139D931AA174288DCCCEC8E04B39E"/>
  </w:style>
  <w:style w:type="paragraph" w:customStyle="1" w:styleId="BB1E728039AF9747AA529BFE0857CD81">
    <w:name w:val="BB1E728039AF9747AA529BFE0857CD81"/>
  </w:style>
  <w:style w:type="paragraph" w:customStyle="1" w:styleId="9A5B99A1A42941438E6A3619E28E6CE2">
    <w:name w:val="9A5B99A1A42941438E6A3619E28E6CE2"/>
  </w:style>
  <w:style w:type="paragraph" w:customStyle="1" w:styleId="C07D847B9007714EA6494CD3804E627D">
    <w:name w:val="C07D847B9007714EA6494CD3804E627D"/>
  </w:style>
  <w:style w:type="paragraph" w:customStyle="1" w:styleId="F110CBC9E351484789315C1E8F544AF2">
    <w:name w:val="F110CBC9E351484789315C1E8F544AF2"/>
  </w:style>
  <w:style w:type="paragraph" w:customStyle="1" w:styleId="76ECFA9418AA824EAE055C4627B20646">
    <w:name w:val="76ECFA9418AA824EAE055C4627B20646"/>
  </w:style>
  <w:style w:type="paragraph" w:customStyle="1" w:styleId="C07D4F44E7787A4695225E4032045E52">
    <w:name w:val="C07D4F44E7787A4695225E4032045E52"/>
  </w:style>
  <w:style w:type="paragraph" w:customStyle="1" w:styleId="89430A7C0FC66541AA18BB74364161A4">
    <w:name w:val="89430A7C0FC66541AA18BB74364161A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1A3233967229438B0EF97FBA8BA110">
    <w:name w:val="A51A3233967229438B0EF97FBA8BA110"/>
  </w:style>
  <w:style w:type="paragraph" w:customStyle="1" w:styleId="730BA522F5BF284893839FB406829553">
    <w:name w:val="730BA522F5BF284893839FB406829553"/>
  </w:style>
  <w:style w:type="paragraph" w:customStyle="1" w:styleId="C38F0758A3D1F34A8CDA7EB010B2E8EC">
    <w:name w:val="C38F0758A3D1F34A8CDA7EB010B2E8EC"/>
  </w:style>
  <w:style w:type="paragraph" w:customStyle="1" w:styleId="3A2139D931AA174288DCCCEC8E04B39E">
    <w:name w:val="3A2139D931AA174288DCCCEC8E04B39E"/>
  </w:style>
  <w:style w:type="paragraph" w:customStyle="1" w:styleId="BB1E728039AF9747AA529BFE0857CD81">
    <w:name w:val="BB1E728039AF9747AA529BFE0857CD81"/>
  </w:style>
  <w:style w:type="paragraph" w:customStyle="1" w:styleId="9A5B99A1A42941438E6A3619E28E6CE2">
    <w:name w:val="9A5B99A1A42941438E6A3619E28E6CE2"/>
  </w:style>
  <w:style w:type="paragraph" w:customStyle="1" w:styleId="C07D847B9007714EA6494CD3804E627D">
    <w:name w:val="C07D847B9007714EA6494CD3804E627D"/>
  </w:style>
  <w:style w:type="paragraph" w:customStyle="1" w:styleId="F110CBC9E351484789315C1E8F544AF2">
    <w:name w:val="F110CBC9E351484789315C1E8F544AF2"/>
  </w:style>
  <w:style w:type="paragraph" w:customStyle="1" w:styleId="76ECFA9418AA824EAE055C4627B20646">
    <w:name w:val="76ECFA9418AA824EAE055C4627B20646"/>
  </w:style>
  <w:style w:type="paragraph" w:customStyle="1" w:styleId="C07D4F44E7787A4695225E4032045E52">
    <w:name w:val="C07D4F44E7787A4695225E4032045E52"/>
  </w:style>
  <w:style w:type="paragraph" w:customStyle="1" w:styleId="89430A7C0FC66541AA18BB74364161A4">
    <w:name w:val="89430A7C0FC66541AA18BB74364161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Dil12</b:Tag>
    <b:SourceType>Book</b:SourceType>
    <b:Guid>{FBEB3E00-2E8C-974D-AA61-EAD7D5DE2F49}</b:Guid>
    <b:Author>
      <b:Author>
        <b:NameList>
          <b:Person>
            <b:Last>Dilworth</b:Last>
            <b:First>T.</b:First>
          </b:Person>
        </b:NameList>
      </b:Author>
    </b:Author>
    <b:Title>David Jones in the Great War</b:Title>
    <b:Publisher>Enitharmon Press</b:Publisher>
    <b:City>London</b:City>
    <b:Year>2012</b:Year>
    <b:CountryRegion>UK</b:CountryRegion>
    <b:RefOrder>2</b:RefOrder>
  </b:Source>
  <b:Source>
    <b:Tag>Dil08</b:Tag>
    <b:SourceType>Book</b:SourceType>
    <b:Guid>{7E51DC53-81EC-1345-8FE9-BA1FDFF7A1FB}</b:Guid>
    <b:Author>
      <b:Author>
        <b:NameList>
          <b:Person>
            <b:Last>Dilworth</b:Last>
            <b:First>T.</b:First>
          </b:Person>
        </b:NameList>
      </b:Author>
    </b:Author>
    <b:Title>Reading David Jones</b:Title>
    <b:City>Cardiff</b:City>
    <b:CountryRegion>UK</b:CountryRegion>
    <b:Publisher>University of Wales Press</b:Publisher>
    <b:Year>2008</b:Year>
    <b:RefOrder>3</b:RefOrder>
  </b:Source>
  <b:Source>
    <b:Tag>Gra80</b:Tag>
    <b:SourceType>Book</b:SourceType>
    <b:Guid>{E756E82E-875E-4540-B834-7CD5116D8AAD}</b:Guid>
    <b:Author>
      <b:Author>
        <b:NameList>
          <b:Person>
            <b:Last>Gray</b:Last>
            <b:First>N.</b:First>
          </b:Person>
        </b:NameList>
      </b:Author>
    </b:Author>
    <b:Title>The Painted Inscriptions of David Jones</b:Title>
    <b:City>London</b:City>
    <b:CountryRegion>UK</b:CountryRegion>
    <b:Publisher>Gordon Fraser</b:Publisher>
    <b:Year>1980</b:Year>
    <b:RefOrder>4</b:RefOrder>
  </b:Source>
  <b:Source>
    <b:Tag>Mil</b:Tag>
    <b:SourceType>Book</b:SourceType>
    <b:Guid>{E8C302C3-766C-7941-9BAE-CFF866A537C3}</b:Guid>
    <b:Author>
      <b:Author>
        <b:NameList>
          <b:Person>
            <b:Last>Miles</b:Last>
            <b:First>T.</b:First>
          </b:Person>
          <b:Person>
            <b:Last>Shiel</b:Last>
            <b:First>D.</b:First>
          </b:Person>
        </b:NameList>
      </b:Author>
    </b:Author>
    <b:Title>David Jones: the Maker Unmade</b:Title>
    <b:City>Bridgend</b:City>
    <b:CountryRegion>UK</b:CountryRegion>
    <b:Publisher>Seren</b:Publisher>
    <b:Year>1995</b:Year>
    <b:RefOrder>5</b:RefOrder>
  </b:Source>
  <b:Source>
    <b:Tag>Rob07</b:Tag>
    <b:SourceType>Book</b:SourceType>
    <b:Guid>{E1649B6E-42F4-D94B-A2AC-8BF64B57ADC7}</b:Guid>
    <b:Author>
      <b:Author>
        <b:NameList>
          <b:Person>
            <b:Last>Robichaud</b:Last>
            <b:First>P.</b:First>
          </b:Person>
        </b:NameList>
      </b:Author>
    </b:Author>
    <b:Title>Making the Past Present: David Jones, the Middle Ages and Modernism</b:Title>
    <b:City>Washington</b:City>
    <b:CountryRegion>USA</b:CountryRegion>
    <b:Publisher>Catholic University of America Press</b:Publisher>
    <b:Year>2007</b:Year>
    <b:RefOrder>6</b:RefOrder>
  </b:Source>
  <b:Source>
    <b:Tag>Aud54</b:Tag>
    <b:SourceType>JournalArticle</b:SourceType>
    <b:Guid>{C2AE2F2D-45F3-5B43-B266-ED0B6F0A71A8}</b:Guid>
    <b:Title>Review of The Anathemata</b:Title>
    <b:Year>1954</b:Year>
    <b:Volume>5</b:Volume>
    <b:Pages>67</b:Pages>
    <b:Author>
      <b:Author>
        <b:NameList>
          <b:Person>
            <b:Last>Auden</b:Last>
            <b:First>W.</b:First>
            <b:Middle>H.</b:Middle>
          </b:Person>
        </b:NameList>
      </b:Author>
    </b:Author>
    <b:JournalName>Encounter</b:JournalName>
    <b:Month>February</b:Month>
    <b:RefOrder>1</b:RefOrder>
  </b:Source>
</b:Sources>
</file>

<file path=customXml/itemProps1.xml><?xml version="1.0" encoding="utf-8"?>
<ds:datastoreItem xmlns:ds="http://schemas.openxmlformats.org/officeDocument/2006/customXml" ds:itemID="{DC6738E4-FD6B-5E48-A670-D41421DC8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3</Pages>
  <Words>1129</Words>
  <Characters>6439</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5</cp:revision>
  <dcterms:created xsi:type="dcterms:W3CDTF">2014-11-26T23:12:00Z</dcterms:created>
  <dcterms:modified xsi:type="dcterms:W3CDTF">2014-12-01T15:27:00Z</dcterms:modified>
</cp:coreProperties>
</file>