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023110" w14:textId="77777777" w:rsidTr="00922950">
        <w:tc>
          <w:tcPr>
            <w:tcW w:w="491" w:type="dxa"/>
            <w:vMerge w:val="restart"/>
            <w:shd w:val="clear" w:color="auto" w:fill="A6A6A6" w:themeFill="background1" w:themeFillShade="A6"/>
            <w:textDirection w:val="btLr"/>
          </w:tcPr>
          <w:p w14:paraId="21B70A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13DE146773F9478E38EBB3EE022305"/>
            </w:placeholder>
            <w:showingPlcHdr/>
            <w:dropDownList>
              <w:listItem w:displayText="Dr." w:value="Dr."/>
              <w:listItem w:displayText="Prof." w:value="Prof."/>
            </w:dropDownList>
          </w:sdtPr>
          <w:sdtEndPr/>
          <w:sdtContent>
            <w:tc>
              <w:tcPr>
                <w:tcW w:w="1259" w:type="dxa"/>
              </w:tcPr>
              <w:p w14:paraId="06193A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7A8B98AF70E14B9AFDECACDD36DE7A"/>
            </w:placeholder>
            <w:text/>
          </w:sdtPr>
          <w:sdtEndPr/>
          <w:sdtContent>
            <w:tc>
              <w:tcPr>
                <w:tcW w:w="2073" w:type="dxa"/>
              </w:tcPr>
              <w:p w14:paraId="10EC77E2" w14:textId="77777777" w:rsidR="00B574C9" w:rsidRDefault="005C4EBF" w:rsidP="005C4EBF">
                <w:proofErr w:type="spellStart"/>
                <w:r w:rsidRPr="00DF4F26">
                  <w:rPr>
                    <w:lang w:eastAsia="ja-JP"/>
                  </w:rPr>
                  <w:t>Nicoletta</w:t>
                </w:r>
                <w:proofErr w:type="spellEnd"/>
              </w:p>
            </w:tc>
          </w:sdtContent>
        </w:sdt>
        <w:sdt>
          <w:sdtPr>
            <w:alias w:val="Middle name"/>
            <w:tag w:val="authorMiddleName"/>
            <w:id w:val="-2076034781"/>
            <w:placeholder>
              <w:docPart w:val="59FC2229558781429BB523E4A84593B4"/>
            </w:placeholder>
            <w:showingPlcHdr/>
            <w:text/>
          </w:sdtPr>
          <w:sdtEndPr/>
          <w:sdtContent>
            <w:tc>
              <w:tcPr>
                <w:tcW w:w="2551" w:type="dxa"/>
              </w:tcPr>
              <w:p w14:paraId="5ABFD0B2" w14:textId="77777777" w:rsidR="00B574C9" w:rsidRDefault="00B574C9" w:rsidP="00922950">
                <w:r>
                  <w:rPr>
                    <w:rStyle w:val="PlaceholderText"/>
                  </w:rPr>
                  <w:t>[Middle name]</w:t>
                </w:r>
              </w:p>
            </w:tc>
          </w:sdtContent>
        </w:sdt>
        <w:sdt>
          <w:sdtPr>
            <w:alias w:val="Last name"/>
            <w:tag w:val="authorLastName"/>
            <w:id w:val="-1088529830"/>
            <w:placeholder>
              <w:docPart w:val="19D55F8E56B2A841890B7A76B52151E7"/>
            </w:placeholder>
            <w:text/>
          </w:sdtPr>
          <w:sdtEndPr/>
          <w:sdtContent>
            <w:tc>
              <w:tcPr>
                <w:tcW w:w="2642" w:type="dxa"/>
              </w:tcPr>
              <w:p w14:paraId="0BB63454" w14:textId="77777777" w:rsidR="00B574C9" w:rsidRDefault="005C4EBF" w:rsidP="005C4EBF">
                <w:proofErr w:type="spellStart"/>
                <w:r>
                  <w:t>Misler</w:t>
                </w:r>
                <w:proofErr w:type="spellEnd"/>
              </w:p>
            </w:tc>
          </w:sdtContent>
        </w:sdt>
      </w:tr>
      <w:tr w:rsidR="00B574C9" w14:paraId="69B969DF" w14:textId="77777777" w:rsidTr="001A6A06">
        <w:trPr>
          <w:trHeight w:val="986"/>
        </w:trPr>
        <w:tc>
          <w:tcPr>
            <w:tcW w:w="491" w:type="dxa"/>
            <w:vMerge/>
            <w:shd w:val="clear" w:color="auto" w:fill="A6A6A6" w:themeFill="background1" w:themeFillShade="A6"/>
          </w:tcPr>
          <w:p w14:paraId="372115A5" w14:textId="77777777" w:rsidR="00B574C9" w:rsidRPr="001A6A06" w:rsidRDefault="00B574C9" w:rsidP="00CF1542">
            <w:pPr>
              <w:jc w:val="center"/>
              <w:rPr>
                <w:b/>
                <w:color w:val="FFFFFF" w:themeColor="background1"/>
              </w:rPr>
            </w:pPr>
          </w:p>
        </w:tc>
        <w:sdt>
          <w:sdtPr>
            <w:alias w:val="Biography"/>
            <w:tag w:val="authorBiography"/>
            <w:id w:val="938807824"/>
            <w:placeholder>
              <w:docPart w:val="803B9E01706938429FE81F196F6AF2E0"/>
            </w:placeholder>
            <w:showingPlcHdr/>
          </w:sdtPr>
          <w:sdtEndPr/>
          <w:sdtContent>
            <w:tc>
              <w:tcPr>
                <w:tcW w:w="8525" w:type="dxa"/>
                <w:gridSpan w:val="4"/>
              </w:tcPr>
              <w:p w14:paraId="0B4824D3" w14:textId="6C84B270" w:rsidR="00B574C9" w:rsidRDefault="00DD1665" w:rsidP="00DD1665">
                <w:r>
                  <w:rPr>
                    <w:rStyle w:val="PlaceholderText"/>
                  </w:rPr>
                  <w:t>[Enter your biography]</w:t>
                </w:r>
              </w:p>
            </w:tc>
          </w:sdtContent>
        </w:sdt>
      </w:tr>
      <w:tr w:rsidR="00B574C9" w14:paraId="1CB0AC63" w14:textId="77777777" w:rsidTr="001A6A06">
        <w:trPr>
          <w:trHeight w:val="986"/>
        </w:trPr>
        <w:tc>
          <w:tcPr>
            <w:tcW w:w="491" w:type="dxa"/>
            <w:vMerge/>
            <w:shd w:val="clear" w:color="auto" w:fill="A6A6A6" w:themeFill="background1" w:themeFillShade="A6"/>
          </w:tcPr>
          <w:p w14:paraId="091F8B33" w14:textId="77777777" w:rsidR="00B574C9" w:rsidRPr="001A6A06" w:rsidRDefault="00B574C9" w:rsidP="00CF1542">
            <w:pPr>
              <w:jc w:val="center"/>
              <w:rPr>
                <w:b/>
                <w:color w:val="FFFFFF" w:themeColor="background1"/>
              </w:rPr>
            </w:pPr>
          </w:p>
        </w:tc>
        <w:sdt>
          <w:sdtPr>
            <w:alias w:val="Affiliation"/>
            <w:tag w:val="affiliation"/>
            <w:id w:val="2012937915"/>
            <w:placeholder>
              <w:docPart w:val="B0C5D1D26B768844816C743A02565C40"/>
            </w:placeholder>
            <w:text/>
          </w:sdtPr>
          <w:sdtEndPr/>
          <w:sdtContent>
            <w:tc>
              <w:tcPr>
                <w:tcW w:w="8525" w:type="dxa"/>
                <w:gridSpan w:val="4"/>
              </w:tcPr>
              <w:p w14:paraId="1A2BC852" w14:textId="77777777" w:rsidR="00B574C9" w:rsidRDefault="001C59CF" w:rsidP="001C59CF">
                <w:r>
                  <w:t>Univer</w:t>
                </w:r>
                <w:r w:rsidRPr="0041661B">
                  <w:t>s</w:t>
                </w:r>
                <w:r>
                  <w:t>i</w:t>
                </w:r>
                <w:r w:rsidRPr="0041661B">
                  <w:t>ty of Southern California</w:t>
                </w:r>
              </w:p>
            </w:tc>
          </w:sdtContent>
        </w:sdt>
      </w:tr>
    </w:tbl>
    <w:p w14:paraId="40D2071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1B5932" w14:textId="77777777" w:rsidTr="00244BB0">
        <w:tc>
          <w:tcPr>
            <w:tcW w:w="9016" w:type="dxa"/>
            <w:shd w:val="clear" w:color="auto" w:fill="A6A6A6" w:themeFill="background1" w:themeFillShade="A6"/>
            <w:tcMar>
              <w:top w:w="113" w:type="dxa"/>
              <w:bottom w:w="113" w:type="dxa"/>
            </w:tcMar>
          </w:tcPr>
          <w:p w14:paraId="5466CE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6DB912" w14:textId="77777777" w:rsidTr="003F0D73">
        <w:sdt>
          <w:sdtPr>
            <w:alias w:val="Article headword"/>
            <w:tag w:val="articleHeadword"/>
            <w:id w:val="-361440020"/>
            <w:placeholder>
              <w:docPart w:val="DC4ACF2272B9C748AC464B7A883F2D0A"/>
            </w:placeholder>
            <w:text/>
          </w:sdtPr>
          <w:sdtEndPr/>
          <w:sdtContent>
            <w:tc>
              <w:tcPr>
                <w:tcW w:w="9016" w:type="dxa"/>
                <w:tcMar>
                  <w:top w:w="113" w:type="dxa"/>
                  <w:bottom w:w="113" w:type="dxa"/>
                </w:tcMar>
              </w:tcPr>
              <w:p w14:paraId="3F398345" w14:textId="77777777" w:rsidR="003F0D73" w:rsidRPr="00FB589A" w:rsidRDefault="005C4EBF" w:rsidP="003F0D73">
                <w:pPr>
                  <w:rPr>
                    <w:b/>
                  </w:rPr>
                </w:pPr>
                <w:proofErr w:type="spellStart"/>
                <w:r w:rsidRPr="00DD1665">
                  <w:rPr>
                    <w:rFonts w:eastAsiaTheme="minorEastAsia"/>
                    <w:lang w:eastAsia="ja-JP"/>
                  </w:rPr>
                  <w:t>Goleizovsky</w:t>
                </w:r>
                <w:proofErr w:type="spellEnd"/>
                <w:r w:rsidRPr="00DD1665">
                  <w:rPr>
                    <w:rFonts w:eastAsiaTheme="minorEastAsia"/>
                    <w:lang w:eastAsia="ja-JP"/>
                  </w:rPr>
                  <w:t xml:space="preserve"> (</w:t>
                </w:r>
                <w:proofErr w:type="spellStart"/>
                <w:r w:rsidRPr="00DD1665">
                  <w:rPr>
                    <w:rFonts w:eastAsiaTheme="minorEastAsia"/>
                    <w:lang w:eastAsia="ja-JP"/>
                  </w:rPr>
                  <w:t>Goleizovskii</w:t>
                </w:r>
                <w:proofErr w:type="spellEnd"/>
                <w:r w:rsidRPr="00DD1665">
                  <w:rPr>
                    <w:rFonts w:eastAsiaTheme="minorEastAsia"/>
                    <w:lang w:eastAsia="ja-JP"/>
                  </w:rPr>
                  <w:t xml:space="preserve">), </w:t>
                </w:r>
                <w:proofErr w:type="spellStart"/>
                <w:r w:rsidRPr="00DD1665">
                  <w:rPr>
                    <w:rFonts w:eastAsiaTheme="minorEastAsia"/>
                    <w:lang w:eastAsia="ja-JP"/>
                  </w:rPr>
                  <w:t>Kas’ian</w:t>
                </w:r>
                <w:proofErr w:type="spellEnd"/>
                <w:r w:rsidRPr="00DD1665">
                  <w:rPr>
                    <w:rFonts w:eastAsiaTheme="minorEastAsia"/>
                    <w:lang w:eastAsia="ja-JP"/>
                  </w:rPr>
                  <w:t xml:space="preserve"> </w:t>
                </w:r>
                <w:proofErr w:type="spellStart"/>
                <w:r w:rsidRPr="00DD1665">
                  <w:rPr>
                    <w:rFonts w:eastAsiaTheme="minorEastAsia"/>
                    <w:lang w:eastAsia="ja-JP"/>
                  </w:rPr>
                  <w:t>Yaroslavich</w:t>
                </w:r>
                <w:proofErr w:type="spellEnd"/>
                <w:r w:rsidRPr="00DD1665">
                  <w:rPr>
                    <w:rFonts w:eastAsiaTheme="minorEastAsia"/>
                    <w:lang w:eastAsia="ja-JP"/>
                  </w:rPr>
                  <w:t xml:space="preserve"> (1892-1970)</w:t>
                </w:r>
              </w:p>
            </w:tc>
          </w:sdtContent>
        </w:sdt>
      </w:tr>
      <w:tr w:rsidR="00464699" w14:paraId="183EE3AE" w14:textId="77777777" w:rsidTr="009779DB">
        <w:sdt>
          <w:sdtPr>
            <w:alias w:val="Variant headwords"/>
            <w:tag w:val="variantHeadwords"/>
            <w:id w:val="173464402"/>
            <w:placeholder>
              <w:docPart w:val="48CF1C3E1E72A14F8F3B60C5401F547A"/>
            </w:placeholder>
            <w:showingPlcHdr/>
          </w:sdtPr>
          <w:sdtEndPr/>
          <w:sdtContent>
            <w:tc>
              <w:tcPr>
                <w:tcW w:w="9016" w:type="dxa"/>
                <w:tcMar>
                  <w:top w:w="113" w:type="dxa"/>
                  <w:bottom w:w="113" w:type="dxa"/>
                </w:tcMar>
              </w:tcPr>
              <w:p w14:paraId="3861BA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FC480C" w14:textId="77777777" w:rsidTr="003F0D73">
        <w:sdt>
          <w:sdtPr>
            <w:alias w:val="Abstract"/>
            <w:tag w:val="abstract"/>
            <w:id w:val="-635871867"/>
            <w:placeholder>
              <w:docPart w:val="5D9F50C08B3F304DACC4F96AE9AEA834"/>
            </w:placeholder>
          </w:sdtPr>
          <w:sdtEndPr/>
          <w:sdtContent>
            <w:tc>
              <w:tcPr>
                <w:tcW w:w="9016" w:type="dxa"/>
                <w:tcMar>
                  <w:top w:w="113" w:type="dxa"/>
                  <w:bottom w:w="113" w:type="dxa"/>
                </w:tcMar>
              </w:tcPr>
              <w:p w14:paraId="3FB15AFC" w14:textId="7531DD13" w:rsidR="00E85A05" w:rsidRDefault="009779DB" w:rsidP="009779DB">
                <w:pPr>
                  <w:widowControl w:val="0"/>
                </w:pPr>
                <w:r>
                  <w:t xml:space="preserve">A Russo-Soviet choreographer, dancer and artist, </w:t>
                </w:r>
                <w:proofErr w:type="spellStart"/>
                <w:r w:rsidRPr="00322872">
                  <w:t>Kas’ian</w:t>
                </w:r>
                <w:proofErr w:type="spellEnd"/>
                <w:r>
                  <w:rPr>
                    <w:b/>
                  </w:rPr>
                  <w:t xml:space="preserve"> </w:t>
                </w:r>
                <w:proofErr w:type="spellStart"/>
                <w:r>
                  <w:t>Goleizovsky</w:t>
                </w:r>
                <w:proofErr w:type="spellEnd"/>
                <w:r>
                  <w:t xml:space="preserve"> was exposed to various art forms from early childhood; dance at the Bolshoi ballet school, fine and applied arts at Moscow’s </w:t>
                </w:r>
                <w:proofErr w:type="spellStart"/>
                <w:r>
                  <w:t>Stroganov</w:t>
                </w:r>
                <w:proofErr w:type="spellEnd"/>
                <w:r>
                  <w:t xml:space="preserve"> Institute; and music lessons with the celebrated violinist David </w:t>
                </w:r>
                <w:proofErr w:type="spellStart"/>
                <w:r>
                  <w:t>Krein</w:t>
                </w:r>
                <w:proofErr w:type="spellEnd"/>
                <w:r>
                  <w:t xml:space="preserve">. This broad education enabled him to perceive dance in terms of line and colour, to integrate costume and choreography, and to infuse visual rhythm, emotional expression, bodily movement and musicality into his artistic explorations. His collaborations with avant-garde visual artists such as </w:t>
                </w:r>
                <w:proofErr w:type="spellStart"/>
                <w:r>
                  <w:t>Petr</w:t>
                </w:r>
                <w:proofErr w:type="spellEnd"/>
                <w:r>
                  <w:t xml:space="preserve"> </w:t>
                </w:r>
                <w:proofErr w:type="spellStart"/>
                <w:r>
                  <w:t>Galadzhev</w:t>
                </w:r>
                <w:proofErr w:type="spellEnd"/>
                <w:r>
                  <w:t xml:space="preserve">, </w:t>
                </w:r>
                <w:proofErr w:type="spellStart"/>
                <w:r>
                  <w:t>Anatolii</w:t>
                </w:r>
                <w:proofErr w:type="spellEnd"/>
                <w:r>
                  <w:t xml:space="preserve"> </w:t>
                </w:r>
                <w:proofErr w:type="spellStart"/>
                <w:r>
                  <w:t>Petritsky</w:t>
                </w:r>
                <w:proofErr w:type="spellEnd"/>
                <w:r>
                  <w:t xml:space="preserve"> and Boris Erdman and with composers such as Boris </w:t>
                </w:r>
                <w:proofErr w:type="spellStart"/>
                <w:r>
                  <w:t>Ber</w:t>
                </w:r>
                <w:proofErr w:type="spellEnd"/>
                <w:r>
                  <w:t xml:space="preserve">, </w:t>
                </w:r>
                <w:proofErr w:type="spellStart"/>
                <w:r>
                  <w:t>Matvei</w:t>
                </w:r>
                <w:proofErr w:type="spellEnd"/>
                <w:r>
                  <w:t xml:space="preserve"> </w:t>
                </w:r>
                <w:proofErr w:type="spellStart"/>
                <w:r>
                  <w:t>Blanter</w:t>
                </w:r>
                <w:proofErr w:type="spellEnd"/>
                <w:r>
                  <w:t xml:space="preserve"> and Sergei Prokofiev were always distinguished by strong mutual understanding. A pre-postmodern choreographer, </w:t>
                </w:r>
                <w:proofErr w:type="spellStart"/>
                <w:r>
                  <w:t>Goleizovsky</w:t>
                </w:r>
                <w:proofErr w:type="spellEnd"/>
                <w:r>
                  <w:t xml:space="preserve"> moved among very different systems and types of dances, including classic, eccentric, variety, ballroom and </w:t>
                </w:r>
                <w:proofErr w:type="gramStart"/>
                <w:r>
                  <w:t>music-hall</w:t>
                </w:r>
                <w:proofErr w:type="gramEnd"/>
                <w:r>
                  <w:t xml:space="preserve">. </w:t>
                </w:r>
              </w:p>
            </w:tc>
          </w:sdtContent>
        </w:sdt>
      </w:tr>
      <w:tr w:rsidR="003F0D73" w14:paraId="2C4700D1" w14:textId="77777777" w:rsidTr="003F0D73">
        <w:sdt>
          <w:sdtPr>
            <w:alias w:val="Article text"/>
            <w:tag w:val="articleText"/>
            <w:id w:val="634067588"/>
            <w:placeholder>
              <w:docPart w:val="92C6C00E88E53547895D3537128899A1"/>
            </w:placeholder>
          </w:sdtPr>
          <w:sdtEndPr/>
          <w:sdtContent>
            <w:tc>
              <w:tcPr>
                <w:tcW w:w="9016" w:type="dxa"/>
                <w:tcMar>
                  <w:top w:w="113" w:type="dxa"/>
                  <w:bottom w:w="113" w:type="dxa"/>
                </w:tcMar>
              </w:tcPr>
              <w:p w14:paraId="14FB0B54" w14:textId="3CBA642F" w:rsidR="009779DB" w:rsidRPr="009779DB" w:rsidRDefault="009779DB" w:rsidP="005C4EBF">
                <w:pPr>
                  <w:widowControl w:val="0"/>
                  <w:rPr>
                    <w:rStyle w:val="Heading1Char"/>
                  </w:rPr>
                </w:pPr>
                <w:r w:rsidRPr="009779DB">
                  <w:rPr>
                    <w:rStyle w:val="Heading1Char"/>
                  </w:rPr>
                  <w:t>Introduction</w:t>
                </w:r>
              </w:p>
              <w:p w14:paraId="29FE9398" w14:textId="77777777" w:rsidR="009779DB" w:rsidRDefault="009779DB" w:rsidP="005C4EBF">
                <w:pPr>
                  <w:widowControl w:val="0"/>
                </w:pPr>
              </w:p>
              <w:p w14:paraId="1664A750" w14:textId="0AE5C620" w:rsidR="005C4EBF" w:rsidRDefault="005C4EBF" w:rsidP="005C4EBF">
                <w:pPr>
                  <w:widowControl w:val="0"/>
                </w:pPr>
                <w:r>
                  <w:t xml:space="preserve">A Russo-Soviet choreographer, dancer and artist, </w:t>
                </w:r>
                <w:proofErr w:type="spellStart"/>
                <w:r w:rsidRPr="00322872">
                  <w:t>Kas’ian</w:t>
                </w:r>
                <w:proofErr w:type="spellEnd"/>
                <w:r>
                  <w:rPr>
                    <w:b/>
                  </w:rPr>
                  <w:t xml:space="preserve"> </w:t>
                </w:r>
                <w:proofErr w:type="spellStart"/>
                <w:r>
                  <w:t>Goleizovsky</w:t>
                </w:r>
                <w:proofErr w:type="spellEnd"/>
                <w:r>
                  <w:t xml:space="preserve"> was exposed to various</w:t>
                </w:r>
                <w:r w:rsidR="009779DB">
                  <w:t xml:space="preserve"> art forms from early childhood;</w:t>
                </w:r>
                <w:r>
                  <w:t xml:space="preserve"> dance at the Bolshoi ballet school, fine and applied arts at Moscow’s </w:t>
                </w:r>
                <w:proofErr w:type="spellStart"/>
                <w:r>
                  <w:t>Stroganov</w:t>
                </w:r>
                <w:proofErr w:type="spellEnd"/>
                <w:r>
                  <w:t xml:space="preserve"> Institute</w:t>
                </w:r>
                <w:r w:rsidR="009779DB">
                  <w:t>;</w:t>
                </w:r>
                <w:r>
                  <w:t xml:space="preserve"> and music lessons with the celebrated violinist David </w:t>
                </w:r>
                <w:proofErr w:type="spellStart"/>
                <w:r>
                  <w:t>Krein</w:t>
                </w:r>
                <w:proofErr w:type="spellEnd"/>
                <w:r>
                  <w:t xml:space="preserve">. This broad education enabled him to perceive dance in terms of line and colour, to integrate costume and choreography, and to infuse visual rhythm, emotional expression, bodily movement and musicality into his artistic explorations. His collaborations with avant-garde visual artists such as </w:t>
                </w:r>
                <w:proofErr w:type="spellStart"/>
                <w:r>
                  <w:t>Petr</w:t>
                </w:r>
                <w:proofErr w:type="spellEnd"/>
                <w:r>
                  <w:t xml:space="preserve"> </w:t>
                </w:r>
                <w:proofErr w:type="spellStart"/>
                <w:r>
                  <w:t>Galadzhev</w:t>
                </w:r>
                <w:proofErr w:type="spellEnd"/>
                <w:r>
                  <w:t xml:space="preserve">, </w:t>
                </w:r>
                <w:proofErr w:type="spellStart"/>
                <w:r>
                  <w:t>Anatolii</w:t>
                </w:r>
                <w:proofErr w:type="spellEnd"/>
                <w:r>
                  <w:t xml:space="preserve"> </w:t>
                </w:r>
                <w:proofErr w:type="spellStart"/>
                <w:r>
                  <w:t>Petritsky</w:t>
                </w:r>
                <w:proofErr w:type="spellEnd"/>
                <w:r>
                  <w:t xml:space="preserve"> and Boris Erdman and with composers such as Boris </w:t>
                </w:r>
                <w:proofErr w:type="spellStart"/>
                <w:r>
                  <w:t>Ber</w:t>
                </w:r>
                <w:proofErr w:type="spellEnd"/>
                <w:r>
                  <w:t xml:space="preserve">, </w:t>
                </w:r>
                <w:proofErr w:type="spellStart"/>
                <w:r>
                  <w:t>Matvei</w:t>
                </w:r>
                <w:proofErr w:type="spellEnd"/>
                <w:r>
                  <w:t xml:space="preserve"> </w:t>
                </w:r>
                <w:proofErr w:type="spellStart"/>
                <w:r>
                  <w:t>Blanter</w:t>
                </w:r>
                <w:proofErr w:type="spellEnd"/>
                <w:r>
                  <w:t xml:space="preserve"> and Sergei Prokofiev were always distinguished by strong mutual understanding. A pre-postmodern choreographer, </w:t>
                </w:r>
                <w:proofErr w:type="spellStart"/>
                <w:r>
                  <w:t>Goleizovsky</w:t>
                </w:r>
                <w:proofErr w:type="spellEnd"/>
                <w:r>
                  <w:t xml:space="preserve"> moved among very different systems and t</w:t>
                </w:r>
                <w:r w:rsidR="009779DB">
                  <w:t xml:space="preserve">ypes of dances, including </w:t>
                </w:r>
                <w:r>
                  <w:t>classic, eccentr</w:t>
                </w:r>
                <w:r w:rsidR="009779DB">
                  <w:t xml:space="preserve">ic, variety, ballroom and music </w:t>
                </w:r>
                <w:r>
                  <w:t xml:space="preserve">hall. </w:t>
                </w:r>
              </w:p>
              <w:p w14:paraId="2E736F52" w14:textId="77777777" w:rsidR="005C4EBF" w:rsidRDefault="005C4EBF" w:rsidP="005C4EBF">
                <w:pPr>
                  <w:widowControl w:val="0"/>
                </w:pPr>
              </w:p>
              <w:p w14:paraId="1D826CAA" w14:textId="77777777" w:rsidR="005C4EBF" w:rsidRDefault="005C4EBF" w:rsidP="009779DB">
                <w:pPr>
                  <w:pStyle w:val="Heading1"/>
                  <w:outlineLvl w:val="0"/>
                </w:pPr>
                <w:r>
                  <w:t>Training</w:t>
                </w:r>
              </w:p>
              <w:p w14:paraId="2F8F815D" w14:textId="0800BD36" w:rsidR="005C4EBF" w:rsidRDefault="005C4EBF" w:rsidP="005C4EBF">
                <w:pPr>
                  <w:widowControl w:val="0"/>
                </w:pPr>
                <w:proofErr w:type="spellStart"/>
                <w:r>
                  <w:t>Goleizovsky</w:t>
                </w:r>
                <w:proofErr w:type="spellEnd"/>
                <w:r>
                  <w:t xml:space="preserve"> arrived in St. Petersburg in 1906 to pursue training as </w:t>
                </w:r>
                <w:r w:rsidR="009779DB">
                  <w:t xml:space="preserve">a </w:t>
                </w:r>
                <w:r>
                  <w:t xml:space="preserve">dancer at the Imperial Ballet School, where </w:t>
                </w:r>
                <w:r w:rsidR="009779DB">
                  <w:t xml:space="preserve">he studied with Michel Fokine. </w:t>
                </w:r>
                <w:r>
                  <w:t xml:space="preserve">After graduating in 1909, he danced briefly at the </w:t>
                </w:r>
                <w:proofErr w:type="spellStart"/>
                <w:r>
                  <w:t>Maryinsky</w:t>
                </w:r>
                <w:proofErr w:type="spellEnd"/>
                <w:r>
                  <w:t xml:space="preserve"> Theatre, </w:t>
                </w:r>
                <w:r w:rsidR="009779DB">
                  <w:t xml:space="preserve">and </w:t>
                </w:r>
                <w:r>
                  <w:t xml:space="preserve">then, from 1910 to 1918, at the Bolshoi Theatre in Moscow. Beginning in 1916, he worked as a choreographer and director for the </w:t>
                </w:r>
                <w:proofErr w:type="spellStart"/>
                <w:r>
                  <w:t>Mamonov</w:t>
                </w:r>
                <w:proofErr w:type="spellEnd"/>
                <w:r>
                  <w:t xml:space="preserve"> Theatre and for Nikita </w:t>
                </w:r>
                <w:proofErr w:type="spellStart"/>
                <w:r>
                  <w:t>Baliev’s</w:t>
                </w:r>
                <w:proofErr w:type="spellEnd"/>
                <w:r>
                  <w:t xml:space="preserve"> </w:t>
                </w:r>
                <w:proofErr w:type="spellStart"/>
                <w:r>
                  <w:t>Chauve</w:t>
                </w:r>
                <w:proofErr w:type="spellEnd"/>
                <w:r>
                  <w:t xml:space="preserve">-Souris cabaret, for which he staged ‘miniature’ (or short) dance numbers. Together with a group of young enthusiasts, he also founded the Research Studio and </w:t>
                </w:r>
                <w:r w:rsidR="009779DB">
                  <w:t>later</w:t>
                </w:r>
                <w:r>
                  <w:t xml:space="preserve"> the Ballet Art Studio, a combination school and performing group.</w:t>
                </w:r>
              </w:p>
              <w:p w14:paraId="2F628AD4" w14:textId="77777777" w:rsidR="005C4EBF" w:rsidRDefault="005C4EBF" w:rsidP="005C4EBF">
                <w:pPr>
                  <w:widowControl w:val="0"/>
                </w:pPr>
              </w:p>
              <w:p w14:paraId="7274A9C6" w14:textId="3585E4A9" w:rsidR="005C4EBF" w:rsidRDefault="009779DB" w:rsidP="009779DB">
                <w:pPr>
                  <w:pStyle w:val="Heading1"/>
                  <w:outlineLvl w:val="0"/>
                </w:pPr>
                <w:r>
                  <w:lastRenderedPageBreak/>
                  <w:t>Contribution to the Field and t</w:t>
                </w:r>
                <w:r w:rsidR="005C4EBF">
                  <w:t>o Modernism</w:t>
                </w:r>
              </w:p>
              <w:p w14:paraId="00A20B11" w14:textId="331C9D8A" w:rsidR="005C4EBF" w:rsidRDefault="005C4EBF" w:rsidP="005C4EBF">
                <w:pPr>
                  <w:widowControl w:val="0"/>
                </w:pPr>
                <w:r>
                  <w:t xml:space="preserve">In late 1919, the Theatre Department of </w:t>
                </w:r>
                <w:proofErr w:type="spellStart"/>
                <w:r>
                  <w:t>Narkompros</w:t>
                </w:r>
                <w:proofErr w:type="spellEnd"/>
                <w:r>
                  <w:t xml:space="preserve"> (People’s Commissariat of Enlightenment) renamed </w:t>
                </w:r>
                <w:proofErr w:type="spellStart"/>
                <w:r>
                  <w:t>Goleizovsky’s</w:t>
                </w:r>
                <w:proofErr w:type="spellEnd"/>
                <w:r>
                  <w:t xml:space="preserve"> school the First Instructional Ballet Studio Theatre; at the end of 1921, it became the Moscow Chamber Ballet, with the status of an independent collective. The post-Revolutionary years were immensely productive and witnessed the creation of some of </w:t>
                </w:r>
                <w:proofErr w:type="spellStart"/>
                <w:r>
                  <w:t>Goleizovsky’s</w:t>
                </w:r>
                <w:proofErr w:type="spellEnd"/>
                <w:r>
                  <w:t xml:space="preserve"> most inventive works. These included Cecile </w:t>
                </w:r>
                <w:proofErr w:type="spellStart"/>
                <w:r>
                  <w:t>Chaminade’s</w:t>
                </w:r>
                <w:proofErr w:type="spellEnd"/>
                <w:r>
                  <w:t xml:space="preserve"> </w:t>
                </w:r>
                <w:proofErr w:type="spellStart"/>
                <w:r>
                  <w:rPr>
                    <w:i/>
                  </w:rPr>
                  <w:t>Arlechin</w:t>
                </w:r>
                <w:proofErr w:type="spellEnd"/>
                <w:r>
                  <w:t xml:space="preserve"> (</w:t>
                </w:r>
                <w:r w:rsidRPr="00A258EE">
                  <w:rPr>
                    <w:i/>
                  </w:rPr>
                  <w:t>Harlequin</w:t>
                </w:r>
                <w:r>
                  <w:t>, 1920)</w:t>
                </w:r>
                <w:r>
                  <w:rPr>
                    <w:i/>
                  </w:rPr>
                  <w:t>,</w:t>
                </w:r>
                <w:r>
                  <w:t xml:space="preserve"> Richard Strauss’ </w:t>
                </w:r>
                <w:r>
                  <w:rPr>
                    <w:i/>
                  </w:rPr>
                  <w:t xml:space="preserve">Salomé </w:t>
                </w:r>
                <w:r>
                  <w:t xml:space="preserve">(1922) and </w:t>
                </w:r>
                <w:r>
                  <w:rPr>
                    <w:i/>
                  </w:rPr>
                  <w:t>The Faun</w:t>
                </w:r>
                <w:r>
                  <w:t xml:space="preserve"> (based on Claude Debussy’s </w:t>
                </w:r>
                <w:proofErr w:type="spellStart"/>
                <w:r>
                  <w:rPr>
                    <w:i/>
                  </w:rPr>
                  <w:t>Prélude</w:t>
                </w:r>
                <w:proofErr w:type="spellEnd"/>
                <w:r>
                  <w:rPr>
                    <w:i/>
                  </w:rPr>
                  <w:t xml:space="preserve"> à </w:t>
                </w:r>
                <w:proofErr w:type="spellStart"/>
                <w:r>
                  <w:rPr>
                    <w:i/>
                  </w:rPr>
                  <w:t>l'après</w:t>
                </w:r>
                <w:proofErr w:type="spellEnd"/>
                <w:r>
                  <w:rPr>
                    <w:i/>
                  </w:rPr>
                  <w:t xml:space="preserve">-midi d'un </w:t>
                </w:r>
                <w:proofErr w:type="spellStart"/>
                <w:r>
                  <w:rPr>
                    <w:i/>
                  </w:rPr>
                  <w:t>faune</w:t>
                </w:r>
                <w:proofErr w:type="spellEnd"/>
                <w:r>
                  <w:rPr>
                    <w:i/>
                  </w:rPr>
                  <w:t xml:space="preserve"> / Prelude to the Afternoon of a Faun</w:t>
                </w:r>
                <w:r>
                  <w:t xml:space="preserve">), staged in 1922 at the Hermitage Winter Theatre. For </w:t>
                </w:r>
                <w:r>
                  <w:rPr>
                    <w:i/>
                  </w:rPr>
                  <w:t>Faun</w:t>
                </w:r>
                <w:r>
                  <w:t>, the artist Boris Erdman designed simple, diagonal scaffolding</w:t>
                </w:r>
                <w:r w:rsidR="009779DB">
                  <w:t>,</w:t>
                </w:r>
                <w:r>
                  <w:t xml:space="preserve"> reminiscent of Alexandra </w:t>
                </w:r>
                <w:proofErr w:type="spellStart"/>
                <w:r>
                  <w:t>Exter’s</w:t>
                </w:r>
                <w:proofErr w:type="spellEnd"/>
                <w:r>
                  <w:t xml:space="preserve"> elemental scenic constructions for Alexander </w:t>
                </w:r>
                <w:proofErr w:type="spellStart"/>
                <w:r>
                  <w:t>Tairov’s</w:t>
                </w:r>
                <w:proofErr w:type="spellEnd"/>
                <w:r>
                  <w:t xml:space="preserve"> Moscow Chamber Theatre, and reduced the costumes to a bare minimum</w:t>
                </w:r>
                <w:r w:rsidR="009779DB">
                  <w:t>,</w:t>
                </w:r>
                <w:r>
                  <w:t xml:space="preserve"> so as to enhance the formal expressiveness of the dancers’ bodies.</w:t>
                </w:r>
              </w:p>
              <w:p w14:paraId="024A8AE6" w14:textId="77777777" w:rsidR="00D750AF" w:rsidRDefault="00D750AF" w:rsidP="005C4EBF">
                <w:pPr>
                  <w:widowControl w:val="0"/>
                </w:pPr>
              </w:p>
              <w:p w14:paraId="29B799D0" w14:textId="6FB903A7" w:rsidR="00D750AF" w:rsidRPr="00D750AF" w:rsidRDefault="00D750AF" w:rsidP="00D750AF">
                <w:pPr>
                  <w:widowControl w:val="0"/>
                  <w:autoSpaceDE w:val="0"/>
                  <w:autoSpaceDN w:val="0"/>
                  <w:adjustRightInd w:val="0"/>
                  <w:rPr>
                    <w:rFonts w:ascii="Calibri" w:hAnsi="Calibri" w:cs="Times New Roman"/>
                    <w:color w:val="5B9BD5" w:themeColor="accent1"/>
                    <w:sz w:val="20"/>
                    <w:szCs w:val="20"/>
                    <w:lang w:val="en-US"/>
                  </w:rPr>
                </w:pPr>
                <w:r w:rsidRPr="00D750AF">
                  <w:rPr>
                    <w:rFonts w:ascii="Calibri" w:hAnsi="Calibri"/>
                    <w:color w:val="5B9BD5" w:themeColor="accent1"/>
                    <w:sz w:val="20"/>
                    <w:szCs w:val="20"/>
                  </w:rPr>
                  <w:t xml:space="preserve">Fig.1: </w:t>
                </w:r>
                <w:proofErr w:type="spellStart"/>
                <w:r w:rsidRPr="00D750AF">
                  <w:rPr>
                    <w:rFonts w:ascii="Calibri" w:hAnsi="Calibri" w:cs="Times New Roman"/>
                    <w:color w:val="5B9BD5" w:themeColor="accent1"/>
                    <w:sz w:val="20"/>
                    <w:szCs w:val="20"/>
                    <w:lang w:val="en-US"/>
                  </w:rPr>
                  <w:t>Piotr</w:t>
                </w:r>
                <w:proofErr w:type="spellEnd"/>
                <w:r w:rsidRPr="00D750AF">
                  <w:rPr>
                    <w:rFonts w:ascii="Calibri" w:hAnsi="Calibri" w:cs="Times New Roman"/>
                    <w:color w:val="5B9BD5" w:themeColor="accent1"/>
                    <w:sz w:val="20"/>
                    <w:szCs w:val="20"/>
                    <w:lang w:val="en-US"/>
                  </w:rPr>
                  <w:t xml:space="preserve"> </w:t>
                </w:r>
                <w:proofErr w:type="spellStart"/>
                <w:r w:rsidRPr="00D750AF">
                  <w:rPr>
                    <w:rFonts w:ascii="Calibri" w:hAnsi="Calibri" w:cs="Times New Roman"/>
                    <w:color w:val="5B9BD5" w:themeColor="accent1"/>
                    <w:sz w:val="20"/>
                    <w:szCs w:val="20"/>
                    <w:lang w:val="en-US"/>
                  </w:rPr>
                  <w:t>Galadzhev</w:t>
                </w:r>
                <w:proofErr w:type="spellEnd"/>
                <w:r w:rsidRPr="00D750AF">
                  <w:rPr>
                    <w:rFonts w:ascii="Calibri" w:hAnsi="Calibri" w:cs="Times New Roman"/>
                    <w:color w:val="5B9BD5" w:themeColor="accent1"/>
                    <w:sz w:val="20"/>
                    <w:szCs w:val="20"/>
                    <w:lang w:val="en-US"/>
                  </w:rPr>
                  <w:t xml:space="preserve">, Faun, 1922. Lithograph of </w:t>
                </w:r>
                <w:proofErr w:type="spellStart"/>
                <w:r w:rsidRPr="00D750AF">
                  <w:rPr>
                    <w:rFonts w:ascii="Calibri" w:hAnsi="Calibri" w:cs="Times New Roman"/>
                    <w:color w:val="5B9BD5" w:themeColor="accent1"/>
                    <w:sz w:val="20"/>
                    <w:szCs w:val="20"/>
                    <w:lang w:val="en-US"/>
                  </w:rPr>
                  <w:t>Kasian</w:t>
                </w:r>
                <w:proofErr w:type="spellEnd"/>
                <w:r w:rsidRPr="00D750AF">
                  <w:rPr>
                    <w:rFonts w:ascii="Calibri" w:hAnsi="Calibri" w:cs="Times New Roman"/>
                    <w:color w:val="5B9BD5" w:themeColor="accent1"/>
                    <w:sz w:val="20"/>
                    <w:szCs w:val="20"/>
                    <w:lang w:val="en-US"/>
                  </w:rPr>
                  <w:t xml:space="preserve"> </w:t>
                </w:r>
                <w:proofErr w:type="spellStart"/>
                <w:r w:rsidRPr="00D750AF">
                  <w:rPr>
                    <w:rFonts w:ascii="Calibri" w:hAnsi="Calibri" w:cs="Times New Roman"/>
                    <w:color w:val="5B9BD5" w:themeColor="accent1"/>
                    <w:sz w:val="20"/>
                    <w:szCs w:val="20"/>
                    <w:lang w:val="en-US"/>
                  </w:rPr>
                  <w:t>Goleizovsky’s</w:t>
                </w:r>
                <w:proofErr w:type="spellEnd"/>
                <w:r w:rsidRPr="00D750AF">
                  <w:rPr>
                    <w:rFonts w:ascii="Calibri" w:hAnsi="Calibri" w:cs="Times New Roman"/>
                    <w:color w:val="5B9BD5" w:themeColor="accent1"/>
                    <w:sz w:val="20"/>
                    <w:szCs w:val="20"/>
                    <w:lang w:val="en-US"/>
                  </w:rPr>
                  <w:t xml:space="preserve"> work for the Moscow Chamber Ballet. Published as the cover for </w:t>
                </w:r>
                <w:proofErr w:type="spellStart"/>
                <w:r w:rsidRPr="00D750AF">
                  <w:rPr>
                    <w:rFonts w:ascii="Calibri" w:hAnsi="Calibri" w:cs="Times New Roman"/>
                    <w:color w:val="5B9BD5" w:themeColor="accent1"/>
                    <w:sz w:val="20"/>
                    <w:szCs w:val="20"/>
                    <w:lang w:val="en-US"/>
                  </w:rPr>
                  <w:t>Zrelishcha</w:t>
                </w:r>
                <w:proofErr w:type="spellEnd"/>
                <w:r w:rsidRPr="00D750AF">
                  <w:rPr>
                    <w:rFonts w:ascii="Calibri" w:hAnsi="Calibri" w:cs="Times New Roman"/>
                    <w:color w:val="5B9BD5" w:themeColor="accent1"/>
                    <w:sz w:val="20"/>
                    <w:szCs w:val="20"/>
                    <w:lang w:val="en-US"/>
                  </w:rPr>
                  <w:t xml:space="preserve"> (Moscow), No. 1 (1922). Courtesy of Central Museum of the Cinema, Moscow.</w:t>
                </w:r>
              </w:p>
              <w:p w14:paraId="638F41A6" w14:textId="77777777" w:rsidR="005C4EBF" w:rsidRDefault="005C4EBF" w:rsidP="005C4EBF">
                <w:pPr>
                  <w:widowControl w:val="0"/>
                </w:pPr>
              </w:p>
              <w:p w14:paraId="09D6592C" w14:textId="525AEA9E" w:rsidR="005C4EBF" w:rsidRDefault="005C4EBF" w:rsidP="005C4EBF">
                <w:pPr>
                  <w:widowControl w:val="0"/>
                </w:pPr>
                <w:proofErr w:type="spellStart"/>
                <w:r>
                  <w:t>Goleizovsky’s</w:t>
                </w:r>
                <w:proofErr w:type="spellEnd"/>
                <w:r>
                  <w:t xml:space="preserve"> dancers (among them </w:t>
                </w:r>
                <w:proofErr w:type="spellStart"/>
                <w:r>
                  <w:t>Liudmila</w:t>
                </w:r>
                <w:proofErr w:type="spellEnd"/>
                <w:r>
                  <w:t xml:space="preserve"> Bank, Boris </w:t>
                </w:r>
                <w:proofErr w:type="spellStart"/>
                <w:r>
                  <w:t>Efimov</w:t>
                </w:r>
                <w:proofErr w:type="spellEnd"/>
                <w:r>
                  <w:t xml:space="preserve">, </w:t>
                </w:r>
                <w:proofErr w:type="spellStart"/>
                <w:r>
                  <w:t>Asaf</w:t>
                </w:r>
                <w:proofErr w:type="spellEnd"/>
                <w:r>
                  <w:t xml:space="preserve"> </w:t>
                </w:r>
                <w:proofErr w:type="spellStart"/>
                <w:r>
                  <w:t>Messerer</w:t>
                </w:r>
                <w:proofErr w:type="spellEnd"/>
                <w:r>
                  <w:t xml:space="preserve"> and </w:t>
                </w:r>
                <w:proofErr w:type="spellStart"/>
                <w:r>
                  <w:t>Itta</w:t>
                </w:r>
                <w:proofErr w:type="spellEnd"/>
                <w:r>
                  <w:t xml:space="preserve"> </w:t>
                </w:r>
                <w:proofErr w:type="spellStart"/>
                <w:r>
                  <w:t>Penzo</w:t>
                </w:r>
                <w:proofErr w:type="spellEnd"/>
                <w:r>
                  <w:t xml:space="preserve">) were known for their long and flexible limbs, which allowed them to execute his complex, elegant and strikingly modern poses. Bare feet, costumes of transparent cloth dyed according to the mood of the piece and fluid, syncopated movements distinguished his works. </w:t>
                </w:r>
                <w:r>
                  <w:rPr>
                    <w:i/>
                  </w:rPr>
                  <w:t>Visions Fugitives</w:t>
                </w:r>
                <w:r>
                  <w:t xml:space="preserve">, which premiered in 1922, was the most acclaimed of </w:t>
                </w:r>
                <w:proofErr w:type="spellStart"/>
                <w:r>
                  <w:t>Goleizovsky’s</w:t>
                </w:r>
                <w:proofErr w:type="spellEnd"/>
                <w:r>
                  <w:t xml:space="preserve"> early experimental works.  However, it also invited accusations of pornography because of the dancers’ naked (or near naked) bodies, which </w:t>
                </w:r>
                <w:proofErr w:type="spellStart"/>
                <w:r>
                  <w:t>Goleizovsky</w:t>
                </w:r>
                <w:proofErr w:type="spellEnd"/>
                <w:r>
                  <w:t xml:space="preserve"> defended as ‘</w:t>
                </w:r>
                <w:commentRangeStart w:id="0"/>
                <w:r>
                  <w:t>eccentric eroticism’</w:t>
                </w:r>
                <w:commentRangeEnd w:id="0"/>
                <w:r w:rsidR="009779DB">
                  <w:rPr>
                    <w:rStyle w:val="CommentReference"/>
                  </w:rPr>
                  <w:commentReference w:id="0"/>
                </w:r>
                <w:r>
                  <w:t>, underscoring the skilful and fluid interconnection and fusion of the bodies on stage</w:t>
                </w:r>
                <w:r w:rsidR="009779DB" w:rsidRPr="009779DB">
                  <w:t>.</w:t>
                </w:r>
                <w:r>
                  <w:rPr>
                    <w:color w:val="FF0000"/>
                  </w:rPr>
                  <w:t xml:space="preserve"> </w:t>
                </w:r>
                <w:r>
                  <w:t xml:space="preserve">Similar to Lev </w:t>
                </w:r>
                <w:proofErr w:type="spellStart"/>
                <w:r>
                  <w:t>Lukin</w:t>
                </w:r>
                <w:proofErr w:type="spellEnd"/>
                <w:r>
                  <w:t xml:space="preserve">, another experimental Moscow choreographer, </w:t>
                </w:r>
                <w:proofErr w:type="spellStart"/>
                <w:r>
                  <w:t>Goleizovsky</w:t>
                </w:r>
                <w:proofErr w:type="spellEnd"/>
                <w:r>
                  <w:t xml:space="preserve"> revealed the erotic aspects of ballet, above all in works choreographed to the music of Alexander Scriabin, his favourite composer, to whom he dedicated the series </w:t>
                </w:r>
                <w:proofErr w:type="spellStart"/>
                <w:r>
                  <w:rPr>
                    <w:i/>
                  </w:rPr>
                  <w:t>Skriabiniana</w:t>
                </w:r>
                <w:proofErr w:type="spellEnd"/>
                <w:r>
                  <w:rPr>
                    <w:i/>
                  </w:rPr>
                  <w:t xml:space="preserve"> </w:t>
                </w:r>
                <w:r>
                  <w:t>in 1962.</w:t>
                </w:r>
              </w:p>
              <w:p w14:paraId="7F27A015" w14:textId="77777777" w:rsidR="005C4EBF" w:rsidRDefault="005C4EBF" w:rsidP="005C4EBF">
                <w:pPr>
                  <w:widowControl w:val="0"/>
                </w:pPr>
              </w:p>
              <w:p w14:paraId="1C76B7EF" w14:textId="1D27D2F1" w:rsidR="00D750AF" w:rsidRPr="00D750AF" w:rsidRDefault="00D750AF" w:rsidP="00D750AF">
                <w:pPr>
                  <w:widowControl w:val="0"/>
                  <w:autoSpaceDE w:val="0"/>
                  <w:autoSpaceDN w:val="0"/>
                  <w:adjustRightInd w:val="0"/>
                  <w:rPr>
                    <w:rFonts w:ascii="Calibri" w:hAnsi="Calibri" w:cs="Times New Roman"/>
                    <w:color w:val="5B9BD5" w:themeColor="accent1"/>
                    <w:sz w:val="20"/>
                    <w:szCs w:val="20"/>
                    <w:lang w:val="en-US"/>
                  </w:rPr>
                </w:pPr>
                <w:r w:rsidRPr="00D750AF">
                  <w:rPr>
                    <w:rFonts w:ascii="Calibri" w:hAnsi="Calibri"/>
                    <w:color w:val="5B9BD5" w:themeColor="accent1"/>
                    <w:sz w:val="20"/>
                    <w:szCs w:val="20"/>
                  </w:rPr>
                  <w:t xml:space="preserve">Fig.2: </w:t>
                </w:r>
                <w:r w:rsidRPr="00D750AF">
                  <w:rPr>
                    <w:rFonts w:ascii="Calibri" w:hAnsi="Calibri" w:cs="Times New Roman"/>
                    <w:color w:val="5B9BD5" w:themeColor="accent1"/>
                    <w:sz w:val="20"/>
                    <w:szCs w:val="20"/>
                    <w:lang w:val="en-US"/>
                  </w:rPr>
                  <w:t xml:space="preserve">Boris Erdman, costume design for a concert number to Chopin choreographed by </w:t>
                </w:r>
                <w:proofErr w:type="spellStart"/>
                <w:r w:rsidRPr="00D750AF">
                  <w:rPr>
                    <w:rFonts w:ascii="Calibri" w:hAnsi="Calibri" w:cs="Times New Roman"/>
                    <w:color w:val="5B9BD5" w:themeColor="accent1"/>
                    <w:sz w:val="20"/>
                    <w:szCs w:val="20"/>
                    <w:lang w:val="en-US"/>
                  </w:rPr>
                  <w:t>Kasian</w:t>
                </w:r>
                <w:proofErr w:type="spellEnd"/>
                <w:r w:rsidRPr="00D750AF">
                  <w:rPr>
                    <w:rFonts w:ascii="Calibri" w:hAnsi="Calibri" w:cs="Times New Roman"/>
                    <w:color w:val="5B9BD5" w:themeColor="accent1"/>
                    <w:sz w:val="20"/>
                    <w:szCs w:val="20"/>
                    <w:lang w:val="en-US"/>
                  </w:rPr>
                  <w:t xml:space="preserve"> </w:t>
                </w:r>
                <w:proofErr w:type="spellStart"/>
                <w:r w:rsidRPr="00D750AF">
                  <w:rPr>
                    <w:rFonts w:ascii="Calibri" w:hAnsi="Calibri" w:cs="Times New Roman"/>
                    <w:color w:val="5B9BD5" w:themeColor="accent1"/>
                    <w:sz w:val="20"/>
                    <w:szCs w:val="20"/>
                    <w:lang w:val="en-US"/>
                  </w:rPr>
                  <w:t>Goleizovsky</w:t>
                </w:r>
                <w:proofErr w:type="spellEnd"/>
                <w:r w:rsidRPr="00D750AF">
                  <w:rPr>
                    <w:rFonts w:ascii="Calibri" w:hAnsi="Calibri" w:cs="Times New Roman"/>
                    <w:color w:val="5B9BD5" w:themeColor="accent1"/>
                    <w:sz w:val="20"/>
                    <w:szCs w:val="20"/>
                    <w:lang w:val="en-US"/>
                  </w:rPr>
                  <w:t xml:space="preserve"> and performed by </w:t>
                </w:r>
                <w:proofErr w:type="spellStart"/>
                <w:r w:rsidRPr="00D750AF">
                  <w:rPr>
                    <w:rFonts w:ascii="Calibri" w:hAnsi="Calibri" w:cs="Times New Roman"/>
                    <w:color w:val="5B9BD5" w:themeColor="accent1"/>
                    <w:sz w:val="20"/>
                    <w:szCs w:val="20"/>
                    <w:lang w:val="en-US"/>
                  </w:rPr>
                  <w:t>Liudmilla</w:t>
                </w:r>
                <w:proofErr w:type="spellEnd"/>
                <w:r w:rsidRPr="00D750AF">
                  <w:rPr>
                    <w:rFonts w:ascii="Calibri" w:hAnsi="Calibri" w:cs="Times New Roman"/>
                    <w:color w:val="5B9BD5" w:themeColor="accent1"/>
                    <w:sz w:val="20"/>
                    <w:szCs w:val="20"/>
                    <w:lang w:val="en-US"/>
                  </w:rPr>
                  <w:t xml:space="preserve"> </w:t>
                </w:r>
                <w:proofErr w:type="spellStart"/>
                <w:r w:rsidRPr="00D750AF">
                  <w:rPr>
                    <w:rFonts w:ascii="Calibri" w:hAnsi="Calibri" w:cs="Times New Roman"/>
                    <w:color w:val="5B9BD5" w:themeColor="accent1"/>
                    <w:sz w:val="20"/>
                    <w:szCs w:val="20"/>
                    <w:lang w:val="en-US"/>
                  </w:rPr>
                  <w:t>Gai</w:t>
                </w:r>
                <w:proofErr w:type="spellEnd"/>
                <w:r w:rsidRPr="00D750AF">
                  <w:rPr>
                    <w:rFonts w:ascii="Calibri" w:hAnsi="Calibri" w:cs="Times New Roman"/>
                    <w:color w:val="5B9BD5" w:themeColor="accent1"/>
                    <w:sz w:val="20"/>
                    <w:szCs w:val="20"/>
                    <w:lang w:val="en-US"/>
                  </w:rPr>
                  <w:t xml:space="preserve">, Moscow Chamber Ballet, 1923. Courtesy of </w:t>
                </w:r>
                <w:proofErr w:type="spellStart"/>
                <w:r w:rsidRPr="00D750AF">
                  <w:rPr>
                    <w:rFonts w:ascii="Calibri" w:hAnsi="Calibri" w:cs="Times New Roman"/>
                    <w:color w:val="5B9BD5" w:themeColor="accent1"/>
                    <w:sz w:val="20"/>
                    <w:szCs w:val="20"/>
                    <w:lang w:val="en-US"/>
                  </w:rPr>
                  <w:t>Goleizovsky</w:t>
                </w:r>
                <w:proofErr w:type="spellEnd"/>
                <w:r w:rsidRPr="00D750AF">
                  <w:rPr>
                    <w:rFonts w:ascii="Calibri" w:hAnsi="Calibri" w:cs="Times New Roman"/>
                    <w:color w:val="5B9BD5" w:themeColor="accent1"/>
                    <w:sz w:val="20"/>
                    <w:szCs w:val="20"/>
                    <w:lang w:val="en-US"/>
                  </w:rPr>
                  <w:t xml:space="preserve"> Family Archive.</w:t>
                </w:r>
              </w:p>
              <w:p w14:paraId="583DDFF2" w14:textId="77777777" w:rsidR="00D750AF" w:rsidRDefault="00D750AF" w:rsidP="00D750AF">
                <w:pPr>
                  <w:widowControl w:val="0"/>
                </w:pPr>
              </w:p>
              <w:p w14:paraId="2E354130" w14:textId="02213D0E" w:rsidR="005C4EBF" w:rsidRDefault="005C4EBF" w:rsidP="005C4EBF">
                <w:pPr>
                  <w:widowControl w:val="0"/>
                </w:pPr>
                <w:r>
                  <w:t xml:space="preserve">In 1925 </w:t>
                </w:r>
                <w:proofErr w:type="spellStart"/>
                <w:r>
                  <w:t>Goleizvosky</w:t>
                </w:r>
                <w:proofErr w:type="spellEnd"/>
                <w:r>
                  <w:t xml:space="preserve"> was invited to return to the Bolshoi Theatre as ballet master. With Boris Erdman and the composer Sergei </w:t>
                </w:r>
                <w:proofErr w:type="spellStart"/>
                <w:r>
                  <w:t>Vasilenko</w:t>
                </w:r>
                <w:proofErr w:type="spellEnd"/>
                <w:r>
                  <w:t xml:space="preserve"> as his collaborators, he choreographed the ballet </w:t>
                </w:r>
                <w:r>
                  <w:rPr>
                    <w:i/>
                  </w:rPr>
                  <w:t>Joseph the Beautiful</w:t>
                </w:r>
                <w:r>
                  <w:t xml:space="preserve"> (1925), a work </w:t>
                </w:r>
                <w:r w:rsidR="009779DB">
                  <w:t>that</w:t>
                </w:r>
                <w:r>
                  <w:t xml:space="preserve"> built upon his research and expl</w:t>
                </w:r>
                <w:r w:rsidR="009779DB">
                  <w:t xml:space="preserve">oration of the previous years. </w:t>
                </w:r>
                <w:r>
                  <w:t xml:space="preserve">In 1928-29, he expanded his repertoire, working successfully for lighter theatres in Moscow and Leningrad, and creating his celebrated number </w:t>
                </w:r>
                <w:r>
                  <w:rPr>
                    <w:i/>
                  </w:rPr>
                  <w:t>Girls</w:t>
                </w:r>
                <w:r>
                  <w:t xml:space="preserve">, inspired by the American musical stage. In the 1920s, especially, </w:t>
                </w:r>
                <w:proofErr w:type="spellStart"/>
                <w:r>
                  <w:t>Goleizovsky</w:t>
                </w:r>
                <w:proofErr w:type="spellEnd"/>
                <w:r>
                  <w:t xml:space="preserve"> was fascinated by traditional Spanish dances, which he recreated in a totally contemporary style to music by George Bizet and Sergei </w:t>
                </w:r>
                <w:proofErr w:type="spellStart"/>
                <w:r>
                  <w:t>Vasilenko</w:t>
                </w:r>
                <w:proofErr w:type="spellEnd"/>
                <w:r>
                  <w:t xml:space="preserve"> (</w:t>
                </w:r>
                <w:r>
                  <w:rPr>
                    <w:i/>
                  </w:rPr>
                  <w:t>Lola,</w:t>
                </w:r>
                <w:r>
                  <w:t xml:space="preserve"> 1929), although he was also attracted to eccentric dances, exemplified by his </w:t>
                </w:r>
                <w:r>
                  <w:rPr>
                    <w:i/>
                  </w:rPr>
                  <w:t>Cake-Walk</w:t>
                </w:r>
                <w:r>
                  <w:t xml:space="preserve"> (1927)</w:t>
                </w:r>
                <w:r w:rsidR="009779DB">
                  <w:t>,</w:t>
                </w:r>
                <w:r>
                  <w:t xml:space="preserve"> </w:t>
                </w:r>
                <w:r w:rsidR="009779DB">
                  <w:t xml:space="preserve">to Debussy’s music. </w:t>
                </w:r>
                <w:r>
                  <w:t>Able to move large groups of actors a</w:t>
                </w:r>
                <w:r w:rsidR="009779DB">
                  <w:t xml:space="preserve">nd dancers (thanks to his music </w:t>
                </w:r>
                <w:r>
                  <w:t xml:space="preserve">hall experience) and to construct acrobatic collective movements (at one time he worked with the circus, even taking lessons in acrobatics), </w:t>
                </w:r>
                <w:proofErr w:type="spellStart"/>
                <w:r>
                  <w:t>Goleizovsky</w:t>
                </w:r>
                <w:proofErr w:type="spellEnd"/>
                <w:r>
                  <w:t xml:space="preserve"> was recruited to choreograph the mass gymnastic parades of 1938-40, commissions he performed anonymously. With his untiring intellectual curiosity </w:t>
                </w:r>
                <w:proofErr w:type="spellStart"/>
                <w:r>
                  <w:t>Goleizovsky</w:t>
                </w:r>
                <w:proofErr w:type="spellEnd"/>
                <w:r>
                  <w:t xml:space="preserve"> also worked in the movies, choreographing episodes for </w:t>
                </w:r>
                <w:proofErr w:type="spellStart"/>
                <w:r>
                  <w:t>Yakov</w:t>
                </w:r>
                <w:proofErr w:type="spellEnd"/>
                <w:r>
                  <w:t xml:space="preserve"> </w:t>
                </w:r>
                <w:proofErr w:type="spellStart"/>
                <w:r>
                  <w:t>Protazanov’s</w:t>
                </w:r>
                <w:proofErr w:type="spellEnd"/>
                <w:r>
                  <w:t xml:space="preserve"> </w:t>
                </w:r>
                <w:r>
                  <w:rPr>
                    <w:i/>
                  </w:rPr>
                  <w:t>Circus</w:t>
                </w:r>
                <w:r>
                  <w:t xml:space="preserve"> (1932) and </w:t>
                </w:r>
                <w:r>
                  <w:rPr>
                    <w:i/>
                  </w:rPr>
                  <w:t>Marionettes</w:t>
                </w:r>
                <w:r>
                  <w:t xml:space="preserve"> (1934) and for </w:t>
                </w:r>
                <w:proofErr w:type="spellStart"/>
                <w:r>
                  <w:t>Grigorii</w:t>
                </w:r>
                <w:proofErr w:type="spellEnd"/>
                <w:r>
                  <w:t xml:space="preserve"> </w:t>
                </w:r>
                <w:proofErr w:type="spellStart"/>
                <w:r>
                  <w:t>Aleksandrov’s</w:t>
                </w:r>
                <w:proofErr w:type="spellEnd"/>
                <w:r>
                  <w:rPr>
                    <w:i/>
                  </w:rPr>
                  <w:t xml:space="preserve"> Spring </w:t>
                </w:r>
                <w:r>
                  <w:t>(1947).</w:t>
                </w:r>
              </w:p>
              <w:p w14:paraId="4C129625" w14:textId="77777777" w:rsidR="005C4EBF" w:rsidRDefault="005C4EBF" w:rsidP="005C4EBF">
                <w:pPr>
                  <w:widowControl w:val="0"/>
                </w:pPr>
              </w:p>
              <w:p w14:paraId="0016DCC4" w14:textId="77777777" w:rsidR="005C4EBF" w:rsidRDefault="005C4EBF" w:rsidP="009779DB">
                <w:pPr>
                  <w:pStyle w:val="Heading1"/>
                  <w:outlineLvl w:val="0"/>
                </w:pPr>
                <w:r>
                  <w:t>Legacy</w:t>
                </w:r>
              </w:p>
              <w:p w14:paraId="081FFE15" w14:textId="69419DCB" w:rsidR="005C4EBF" w:rsidRDefault="005C4EBF" w:rsidP="005C4EBF">
                <w:pPr>
                  <w:widowControl w:val="0"/>
                </w:pPr>
                <w:proofErr w:type="spellStart"/>
                <w:r>
                  <w:t>Goleizovsky’s</w:t>
                </w:r>
                <w:proofErr w:type="spellEnd"/>
                <w:r>
                  <w:t xml:space="preserve"> vitality and his undiminished capacity for reinvention and rediscovery were </w:t>
                </w:r>
                <w:r>
                  <w:lastRenderedPageBreak/>
                  <w:t xml:space="preserve">demonstrated by the cycle of triumphant </w:t>
                </w:r>
                <w:r>
                  <w:rPr>
                    <w:i/>
                  </w:rPr>
                  <w:t>soirées</w:t>
                </w:r>
                <w:r>
                  <w:t xml:space="preserve"> he staged at the Bolshoi Theatre</w:t>
                </w:r>
                <w:r w:rsidR="009779DB">
                  <w:t xml:space="preserve"> in the 1950s and early 1960s. </w:t>
                </w:r>
                <w:r>
                  <w:t xml:space="preserve">Featuring works such as the </w:t>
                </w:r>
                <w:proofErr w:type="spellStart"/>
                <w:r>
                  <w:rPr>
                    <w:i/>
                  </w:rPr>
                  <w:t>Polovtsian</w:t>
                </w:r>
                <w:proofErr w:type="spellEnd"/>
                <w:r>
                  <w:rPr>
                    <w:i/>
                  </w:rPr>
                  <w:t xml:space="preserve"> Dances</w:t>
                </w:r>
                <w:r>
                  <w:t xml:space="preserve"> (1953), </w:t>
                </w:r>
                <w:proofErr w:type="spellStart"/>
                <w:r>
                  <w:rPr>
                    <w:i/>
                  </w:rPr>
                  <w:t>Skriabiniana</w:t>
                </w:r>
                <w:proofErr w:type="spellEnd"/>
                <w:r>
                  <w:t xml:space="preserve"> (1962) and </w:t>
                </w:r>
                <w:proofErr w:type="spellStart"/>
                <w:r>
                  <w:rPr>
                    <w:i/>
                  </w:rPr>
                  <w:t>Layla</w:t>
                </w:r>
                <w:proofErr w:type="spellEnd"/>
                <w:r>
                  <w:rPr>
                    <w:i/>
                  </w:rPr>
                  <w:t xml:space="preserve"> and </w:t>
                </w:r>
                <w:proofErr w:type="spellStart"/>
                <w:r>
                  <w:rPr>
                    <w:i/>
                  </w:rPr>
                  <w:t>Majnun</w:t>
                </w:r>
                <w:proofErr w:type="spellEnd"/>
                <w:r>
                  <w:t xml:space="preserve"> (1964), </w:t>
                </w:r>
                <w:r w:rsidR="009779DB">
                  <w:t>along with</w:t>
                </w:r>
                <w:r>
                  <w:t xml:space="preserve"> a new generation of stellar performers, these performances a</w:t>
                </w:r>
                <w:r w:rsidR="009779DB">
                  <w:t>nd the recordings that followed—</w:t>
                </w:r>
                <w:r>
                  <w:t>symptomatic of a more tolerant cultural policy in the</w:t>
                </w:r>
                <w:r w:rsidR="009779DB">
                  <w:t xml:space="preserve"> years following Stalin’s death—</w:t>
                </w:r>
                <w:r>
                  <w:t>brought him wide acclaim and appreciation.</w:t>
                </w:r>
              </w:p>
              <w:p w14:paraId="1D4F5825" w14:textId="77777777" w:rsidR="00D750AF" w:rsidRDefault="00D750AF" w:rsidP="005C4EBF">
                <w:pPr>
                  <w:widowControl w:val="0"/>
                </w:pPr>
              </w:p>
              <w:p w14:paraId="46203301" w14:textId="7FEF0F81" w:rsidR="00D750AF" w:rsidRPr="0032640E" w:rsidRDefault="00D750AF" w:rsidP="00D750AF">
                <w:pPr>
                  <w:widowControl w:val="0"/>
                  <w:autoSpaceDE w:val="0"/>
                  <w:autoSpaceDN w:val="0"/>
                  <w:adjustRightInd w:val="0"/>
                  <w:rPr>
                    <w:rFonts w:ascii="Calibri" w:hAnsi="Calibri" w:cs="Times New Roman"/>
                    <w:color w:val="5B9BD5" w:themeColor="accent1"/>
                    <w:sz w:val="20"/>
                    <w:szCs w:val="20"/>
                    <w:lang w:val="en-US"/>
                  </w:rPr>
                </w:pPr>
                <w:r w:rsidRPr="0032640E">
                  <w:rPr>
                    <w:rFonts w:ascii="Calibri" w:hAnsi="Calibri"/>
                    <w:color w:val="5B9BD5" w:themeColor="accent1"/>
                    <w:sz w:val="20"/>
                    <w:szCs w:val="20"/>
                  </w:rPr>
                  <w:t>Fig.3:</w:t>
                </w:r>
                <w:r w:rsidRPr="0032640E">
                  <w:rPr>
                    <w:rFonts w:ascii="Calibri" w:hAnsi="Calibri" w:cs="Times New Roman"/>
                    <w:color w:val="5B9BD5" w:themeColor="accent1"/>
                    <w:sz w:val="20"/>
                    <w:szCs w:val="20"/>
                    <w:lang w:val="en-US"/>
                  </w:rPr>
                  <w:t xml:space="preserve"> </w:t>
                </w:r>
                <w:proofErr w:type="spellStart"/>
                <w:r w:rsidRPr="0032640E">
                  <w:rPr>
                    <w:rFonts w:ascii="Calibri" w:hAnsi="Calibri" w:cs="Times New Roman"/>
                    <w:color w:val="5B9BD5" w:themeColor="accent1"/>
                    <w:sz w:val="20"/>
                    <w:szCs w:val="20"/>
                    <w:lang w:val="en-US"/>
                  </w:rPr>
                  <w:t>Daniil</w:t>
                </w:r>
                <w:proofErr w:type="spellEnd"/>
                <w:r w:rsidRPr="0032640E">
                  <w:rPr>
                    <w:rFonts w:ascii="Calibri" w:hAnsi="Calibri" w:cs="Times New Roman"/>
                    <w:color w:val="5B9BD5" w:themeColor="accent1"/>
                    <w:sz w:val="20"/>
                    <w:szCs w:val="20"/>
                    <w:lang w:val="en-US"/>
                  </w:rPr>
                  <w:t xml:space="preserve"> </w:t>
                </w:r>
                <w:proofErr w:type="spellStart"/>
                <w:r w:rsidRPr="0032640E">
                  <w:rPr>
                    <w:rFonts w:ascii="Calibri" w:hAnsi="Calibri" w:cs="Times New Roman"/>
                    <w:color w:val="5B9BD5" w:themeColor="accent1"/>
                    <w:sz w:val="20"/>
                    <w:szCs w:val="20"/>
                    <w:lang w:val="en-US"/>
                  </w:rPr>
                  <w:t>Demutskii</w:t>
                </w:r>
                <w:proofErr w:type="spellEnd"/>
                <w:r w:rsidRPr="0032640E">
                  <w:rPr>
                    <w:rFonts w:ascii="Calibri" w:hAnsi="Calibri" w:cs="Times New Roman"/>
                    <w:color w:val="5B9BD5" w:themeColor="accent1"/>
                    <w:sz w:val="20"/>
                    <w:szCs w:val="20"/>
                    <w:lang w:val="en-US"/>
                  </w:rPr>
                  <w:t xml:space="preserve">, photograph of </w:t>
                </w:r>
                <w:proofErr w:type="spellStart"/>
                <w:r w:rsidRPr="0032640E">
                  <w:rPr>
                    <w:rFonts w:ascii="Calibri" w:hAnsi="Calibri" w:cs="Times New Roman"/>
                    <w:color w:val="5B9BD5" w:themeColor="accent1"/>
                    <w:sz w:val="20"/>
                    <w:szCs w:val="20"/>
                    <w:lang w:val="en-US"/>
                  </w:rPr>
                  <w:t>Kasian</w:t>
                </w:r>
                <w:proofErr w:type="spellEnd"/>
                <w:r w:rsidRPr="0032640E">
                  <w:rPr>
                    <w:rFonts w:ascii="Calibri" w:hAnsi="Calibri" w:cs="Times New Roman"/>
                    <w:color w:val="5B9BD5" w:themeColor="accent1"/>
                    <w:sz w:val="20"/>
                    <w:szCs w:val="20"/>
                    <w:lang w:val="en-US"/>
                  </w:rPr>
                  <w:t xml:space="preserve"> </w:t>
                </w:r>
                <w:proofErr w:type="spellStart"/>
                <w:r w:rsidRPr="0032640E">
                  <w:rPr>
                    <w:rFonts w:ascii="Calibri" w:hAnsi="Calibri" w:cs="Times New Roman"/>
                    <w:color w:val="5B9BD5" w:themeColor="accent1"/>
                    <w:sz w:val="20"/>
                    <w:szCs w:val="20"/>
                    <w:lang w:val="en-US"/>
                  </w:rPr>
                  <w:t>Goleizovsky’s</w:t>
                </w:r>
                <w:proofErr w:type="spellEnd"/>
                <w:r w:rsidRPr="0032640E">
                  <w:rPr>
                    <w:rFonts w:ascii="Calibri" w:hAnsi="Calibri" w:cs="Times New Roman"/>
                    <w:color w:val="5B9BD5" w:themeColor="accent1"/>
                    <w:sz w:val="20"/>
                    <w:szCs w:val="20"/>
                    <w:lang w:val="en-US"/>
                  </w:rPr>
                  <w:t xml:space="preserve"> Marche </w:t>
                </w:r>
                <w:proofErr w:type="spellStart"/>
                <w:r w:rsidRPr="0032640E">
                  <w:rPr>
                    <w:rFonts w:ascii="Calibri" w:hAnsi="Calibri" w:cs="Times New Roman"/>
                    <w:color w:val="5B9BD5" w:themeColor="accent1"/>
                    <w:sz w:val="20"/>
                    <w:szCs w:val="20"/>
                    <w:lang w:val="en-US"/>
                  </w:rPr>
                  <w:t>Funèbre</w:t>
                </w:r>
                <w:proofErr w:type="spellEnd"/>
                <w:r w:rsidRPr="0032640E">
                  <w:rPr>
                    <w:rFonts w:ascii="Calibri" w:hAnsi="Calibri" w:cs="Times New Roman"/>
                    <w:color w:val="5B9BD5" w:themeColor="accent1"/>
                    <w:sz w:val="20"/>
                    <w:szCs w:val="20"/>
                    <w:lang w:val="en-US"/>
                  </w:rPr>
                  <w:t xml:space="preserve">, to the music of Nikolai </w:t>
                </w:r>
                <w:proofErr w:type="spellStart"/>
                <w:r w:rsidRPr="0032640E">
                  <w:rPr>
                    <w:rFonts w:ascii="Calibri" w:hAnsi="Calibri" w:cs="Times New Roman"/>
                    <w:color w:val="5B9BD5" w:themeColor="accent1"/>
                    <w:sz w:val="20"/>
                    <w:szCs w:val="20"/>
                    <w:lang w:val="en-US"/>
                  </w:rPr>
                  <w:t>Metner</w:t>
                </w:r>
                <w:proofErr w:type="spellEnd"/>
                <w:r w:rsidRPr="0032640E">
                  <w:rPr>
                    <w:rFonts w:ascii="Calibri" w:hAnsi="Calibri" w:cs="Times New Roman"/>
                    <w:color w:val="5B9BD5" w:themeColor="accent1"/>
                    <w:sz w:val="20"/>
                    <w:szCs w:val="20"/>
                    <w:lang w:val="en-US"/>
                  </w:rPr>
                  <w:t xml:space="preserve">, 1921. Courtesy </w:t>
                </w:r>
                <w:proofErr w:type="spellStart"/>
                <w:r w:rsidRPr="0032640E">
                  <w:rPr>
                    <w:rFonts w:ascii="Calibri" w:hAnsi="Calibri" w:cs="Times New Roman"/>
                    <w:color w:val="5B9BD5" w:themeColor="accent1"/>
                    <w:sz w:val="20"/>
                    <w:szCs w:val="20"/>
                    <w:lang w:val="en-US"/>
                  </w:rPr>
                  <w:t>Goleizovsky</w:t>
                </w:r>
                <w:proofErr w:type="spellEnd"/>
                <w:r w:rsidRPr="0032640E">
                  <w:rPr>
                    <w:rFonts w:ascii="Calibri" w:hAnsi="Calibri" w:cs="Times New Roman"/>
                    <w:color w:val="5B9BD5" w:themeColor="accent1"/>
                    <w:sz w:val="20"/>
                    <w:szCs w:val="20"/>
                    <w:lang w:val="en-US"/>
                  </w:rPr>
                  <w:t xml:space="preserve"> Family Archive, Moscow.</w:t>
                </w:r>
              </w:p>
              <w:p w14:paraId="4E632BEB" w14:textId="77777777" w:rsidR="005C4EBF" w:rsidRDefault="005C4EBF" w:rsidP="005C4EBF">
                <w:pPr>
                  <w:widowControl w:val="0"/>
                </w:pPr>
              </w:p>
              <w:p w14:paraId="4D98B805" w14:textId="51FFE7D1" w:rsidR="005C4EBF" w:rsidRPr="00EE7978" w:rsidRDefault="005C4EBF" w:rsidP="009779DB">
                <w:pPr>
                  <w:pStyle w:val="Heading1"/>
                  <w:outlineLvl w:val="0"/>
                </w:pPr>
                <w:r w:rsidRPr="00EE7978">
                  <w:t>Selected List of Works</w:t>
                </w:r>
                <w:r w:rsidR="00DD1665">
                  <w:t>:</w:t>
                </w:r>
              </w:p>
              <w:p w14:paraId="76D883C9" w14:textId="77777777" w:rsidR="005C4EBF" w:rsidRDefault="005C4EBF" w:rsidP="005C4EBF">
                <w:pPr>
                  <w:widowControl w:val="0"/>
                </w:pPr>
                <w:r>
                  <w:rPr>
                    <w:i/>
                  </w:rPr>
                  <w:t xml:space="preserve">The </w:t>
                </w:r>
                <w:proofErr w:type="spellStart"/>
                <w:r>
                  <w:rPr>
                    <w:i/>
                  </w:rPr>
                  <w:t>Goatlegged</w:t>
                </w:r>
                <w:proofErr w:type="spellEnd"/>
                <w:r>
                  <w:t xml:space="preserve"> (1916)</w:t>
                </w:r>
              </w:p>
              <w:p w14:paraId="6B44AC67" w14:textId="77777777" w:rsidR="005C4EBF" w:rsidRDefault="005C4EBF" w:rsidP="005C4EBF">
                <w:pPr>
                  <w:widowControl w:val="0"/>
                </w:pPr>
                <w:r>
                  <w:rPr>
                    <w:i/>
                  </w:rPr>
                  <w:t>The Evolution of Dance</w:t>
                </w:r>
                <w:r>
                  <w:t xml:space="preserve"> (1918)</w:t>
                </w:r>
              </w:p>
              <w:p w14:paraId="4496EB52" w14:textId="77777777" w:rsidR="005C4EBF" w:rsidRDefault="005C4EBF" w:rsidP="005C4EBF">
                <w:pPr>
                  <w:widowControl w:val="0"/>
                </w:pPr>
                <w:r>
                  <w:rPr>
                    <w:i/>
                  </w:rPr>
                  <w:t>The Sonata of Death and Movement</w:t>
                </w:r>
                <w:r>
                  <w:t xml:space="preserve"> (1919)</w:t>
                </w:r>
              </w:p>
              <w:p w14:paraId="6CCE8506" w14:textId="77777777" w:rsidR="005C4EBF" w:rsidRDefault="005C4EBF" w:rsidP="005C4EBF">
                <w:pPr>
                  <w:widowControl w:val="0"/>
                </w:pPr>
                <w:r>
                  <w:rPr>
                    <w:i/>
                  </w:rPr>
                  <w:t>Max und Moritz</w:t>
                </w:r>
                <w:r>
                  <w:t xml:space="preserve"> (1919)</w:t>
                </w:r>
              </w:p>
              <w:p w14:paraId="49D22805" w14:textId="77777777" w:rsidR="005C4EBF" w:rsidRDefault="005C4EBF" w:rsidP="005C4EBF">
                <w:pPr>
                  <w:widowControl w:val="0"/>
                </w:pPr>
                <w:r>
                  <w:rPr>
                    <w:i/>
                  </w:rPr>
                  <w:t xml:space="preserve">Dolls </w:t>
                </w:r>
                <w:r>
                  <w:t>(1920)</w:t>
                </w:r>
              </w:p>
              <w:p w14:paraId="1E5636F0" w14:textId="77777777" w:rsidR="005C4EBF" w:rsidRDefault="005C4EBF" w:rsidP="005C4EBF">
                <w:pPr>
                  <w:widowControl w:val="0"/>
                </w:pPr>
                <w:r>
                  <w:rPr>
                    <w:i/>
                  </w:rPr>
                  <w:t xml:space="preserve">The Faun </w:t>
                </w:r>
                <w:r>
                  <w:t>(1922)</w:t>
                </w:r>
              </w:p>
              <w:p w14:paraId="6C8656F9" w14:textId="77777777" w:rsidR="005C4EBF" w:rsidRDefault="005C4EBF" w:rsidP="005C4EBF">
                <w:pPr>
                  <w:widowControl w:val="0"/>
                </w:pPr>
                <w:r>
                  <w:rPr>
                    <w:i/>
                  </w:rPr>
                  <w:t>Salomé</w:t>
                </w:r>
                <w:r>
                  <w:t xml:space="preserve"> (1922)</w:t>
                </w:r>
              </w:p>
              <w:p w14:paraId="78C37ABA" w14:textId="77777777" w:rsidR="005C4EBF" w:rsidRDefault="005C4EBF" w:rsidP="005C4EBF">
                <w:pPr>
                  <w:widowControl w:val="0"/>
                </w:pPr>
                <w:r>
                  <w:rPr>
                    <w:i/>
                  </w:rPr>
                  <w:t>Joseph the Beautiful</w:t>
                </w:r>
                <w:r>
                  <w:t xml:space="preserve"> (1925)</w:t>
                </w:r>
              </w:p>
              <w:p w14:paraId="7E481D8A" w14:textId="77777777" w:rsidR="005C4EBF" w:rsidRDefault="005C4EBF" w:rsidP="005C4EBF">
                <w:pPr>
                  <w:widowControl w:val="0"/>
                </w:pPr>
                <w:proofErr w:type="spellStart"/>
                <w:r>
                  <w:rPr>
                    <w:i/>
                  </w:rPr>
                  <w:t>Teolinda</w:t>
                </w:r>
                <w:proofErr w:type="spellEnd"/>
                <w:r>
                  <w:t xml:space="preserve"> (1925)</w:t>
                </w:r>
              </w:p>
              <w:p w14:paraId="2FA22D99" w14:textId="77777777" w:rsidR="005C4EBF" w:rsidRDefault="005C4EBF" w:rsidP="005C4EBF">
                <w:pPr>
                  <w:widowControl w:val="0"/>
                </w:pPr>
                <w:r>
                  <w:rPr>
                    <w:i/>
                  </w:rPr>
                  <w:t>The Whirlwind</w:t>
                </w:r>
                <w:r>
                  <w:t xml:space="preserve"> (1927)</w:t>
                </w:r>
              </w:p>
              <w:p w14:paraId="7BBC00CC" w14:textId="77777777" w:rsidR="005C4EBF" w:rsidRDefault="005C4EBF" w:rsidP="005C4EBF">
                <w:pPr>
                  <w:widowControl w:val="0"/>
                </w:pPr>
                <w:r>
                  <w:rPr>
                    <w:i/>
                  </w:rPr>
                  <w:t>Carmen</w:t>
                </w:r>
                <w:r>
                  <w:t xml:space="preserve"> (1931)</w:t>
                </w:r>
              </w:p>
              <w:p w14:paraId="7677977B" w14:textId="77777777" w:rsidR="005C4EBF" w:rsidRDefault="005C4EBF" w:rsidP="005C4EBF">
                <w:pPr>
                  <w:widowControl w:val="0"/>
                </w:pPr>
                <w:proofErr w:type="spellStart"/>
                <w:r>
                  <w:rPr>
                    <w:i/>
                  </w:rPr>
                  <w:t>Lisztiana</w:t>
                </w:r>
                <w:proofErr w:type="spellEnd"/>
                <w:r>
                  <w:t xml:space="preserve"> (1931)</w:t>
                </w:r>
              </w:p>
              <w:p w14:paraId="64FB2FCF" w14:textId="77777777" w:rsidR="005C4EBF" w:rsidRDefault="005C4EBF" w:rsidP="005C4EBF">
                <w:pPr>
                  <w:widowControl w:val="0"/>
                </w:pPr>
                <w:r>
                  <w:rPr>
                    <w:i/>
                  </w:rPr>
                  <w:t>Dionysius</w:t>
                </w:r>
                <w:r>
                  <w:t xml:space="preserve"> (1933)</w:t>
                </w:r>
              </w:p>
              <w:p w14:paraId="13660838" w14:textId="77777777" w:rsidR="005C4EBF" w:rsidRDefault="005C4EBF" w:rsidP="005C4EBF">
                <w:pPr>
                  <w:widowControl w:val="0"/>
                </w:pPr>
                <w:proofErr w:type="spellStart"/>
                <w:r>
                  <w:rPr>
                    <w:i/>
                  </w:rPr>
                  <w:t>Charda</w:t>
                </w:r>
                <w:proofErr w:type="spellEnd"/>
                <w:r>
                  <w:t xml:space="preserve"> (1933)</w:t>
                </w:r>
              </w:p>
              <w:p w14:paraId="4C561506" w14:textId="77777777" w:rsidR="005C4EBF" w:rsidRDefault="005C4EBF" w:rsidP="005C4EBF">
                <w:pPr>
                  <w:widowControl w:val="0"/>
                </w:pPr>
                <w:r>
                  <w:rPr>
                    <w:i/>
                  </w:rPr>
                  <w:t>Bolero</w:t>
                </w:r>
                <w:r>
                  <w:t xml:space="preserve"> (1934)</w:t>
                </w:r>
              </w:p>
              <w:p w14:paraId="1D71685D" w14:textId="77777777" w:rsidR="005C4EBF" w:rsidRDefault="005C4EBF" w:rsidP="005C4EBF">
                <w:pPr>
                  <w:widowControl w:val="0"/>
                </w:pPr>
                <w:r>
                  <w:rPr>
                    <w:i/>
                  </w:rPr>
                  <w:t xml:space="preserve">The Fountain of </w:t>
                </w:r>
                <w:proofErr w:type="spellStart"/>
                <w:r>
                  <w:rPr>
                    <w:i/>
                  </w:rPr>
                  <w:t>Bakhchisarai</w:t>
                </w:r>
                <w:proofErr w:type="spellEnd"/>
                <w:r>
                  <w:t xml:space="preserve"> (1939)</w:t>
                </w:r>
              </w:p>
              <w:p w14:paraId="22BD81D1" w14:textId="77777777" w:rsidR="005C4EBF" w:rsidRDefault="005C4EBF" w:rsidP="005C4EBF">
                <w:pPr>
                  <w:widowControl w:val="0"/>
                </w:pPr>
                <w:proofErr w:type="spellStart"/>
                <w:r>
                  <w:rPr>
                    <w:i/>
                  </w:rPr>
                  <w:t>Polovtsian</w:t>
                </w:r>
                <w:proofErr w:type="spellEnd"/>
                <w:r>
                  <w:rPr>
                    <w:i/>
                  </w:rPr>
                  <w:t xml:space="preserve"> Dances</w:t>
                </w:r>
                <w:r>
                  <w:t xml:space="preserve"> (1943)</w:t>
                </w:r>
              </w:p>
              <w:p w14:paraId="5B29F415" w14:textId="77777777" w:rsidR="005C4EBF" w:rsidRDefault="005C4EBF" w:rsidP="005C4EBF">
                <w:pPr>
                  <w:widowControl w:val="0"/>
                </w:pPr>
                <w:r>
                  <w:rPr>
                    <w:i/>
                  </w:rPr>
                  <w:t xml:space="preserve">Narcissus </w:t>
                </w:r>
                <w:r>
                  <w:t>(1960)</w:t>
                </w:r>
              </w:p>
              <w:p w14:paraId="7385BC91" w14:textId="77777777" w:rsidR="005C4EBF" w:rsidRDefault="005C4EBF" w:rsidP="005C4EBF">
                <w:pPr>
                  <w:widowControl w:val="0"/>
                </w:pPr>
                <w:proofErr w:type="spellStart"/>
                <w:r>
                  <w:rPr>
                    <w:i/>
                  </w:rPr>
                  <w:t>Scriabiniana</w:t>
                </w:r>
                <w:proofErr w:type="spellEnd"/>
                <w:r>
                  <w:t xml:space="preserve"> (1962)</w:t>
                </w:r>
              </w:p>
              <w:p w14:paraId="501E0F8A" w14:textId="06B27D6B" w:rsidR="003F0D73" w:rsidRDefault="005C4EBF" w:rsidP="00DD1665">
                <w:pPr>
                  <w:widowControl w:val="0"/>
                </w:pPr>
                <w:proofErr w:type="spellStart"/>
                <w:r>
                  <w:rPr>
                    <w:i/>
                  </w:rPr>
                  <w:t>Leili</w:t>
                </w:r>
                <w:proofErr w:type="spellEnd"/>
                <w:r>
                  <w:rPr>
                    <w:i/>
                  </w:rPr>
                  <w:t xml:space="preserve"> and </w:t>
                </w:r>
                <w:proofErr w:type="spellStart"/>
                <w:r>
                  <w:rPr>
                    <w:i/>
                  </w:rPr>
                  <w:t>Medzhnun</w:t>
                </w:r>
                <w:proofErr w:type="spellEnd"/>
                <w:r>
                  <w:t xml:space="preserve"> (1964) </w:t>
                </w:r>
              </w:p>
            </w:tc>
          </w:sdtContent>
        </w:sdt>
      </w:tr>
      <w:tr w:rsidR="003235A7" w14:paraId="301E1A48" w14:textId="77777777" w:rsidTr="003235A7">
        <w:tc>
          <w:tcPr>
            <w:tcW w:w="9016" w:type="dxa"/>
          </w:tcPr>
          <w:p w14:paraId="3AF72A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24E5C233B9B254F8068582266CA5A21"/>
              </w:placeholder>
            </w:sdtPr>
            <w:sdtEndPr/>
            <w:sdtContent>
              <w:bookmarkStart w:id="1" w:name="_GoBack" w:displacedByCustomXml="prev"/>
              <w:bookmarkEnd w:id="1" w:displacedByCustomXml="prev"/>
              <w:p w14:paraId="1F6D1575" w14:textId="53E46A0B" w:rsidR="009779DB" w:rsidRDefault="00DD1665" w:rsidP="009779DB">
                <w:sdt>
                  <w:sdtPr>
                    <w:id w:val="-330213225"/>
                    <w:citation/>
                  </w:sdtPr>
                  <w:sdtEndPr/>
                  <w:sdtContent>
                    <w:r w:rsidR="009779DB">
                      <w:fldChar w:fldCharType="begin"/>
                    </w:r>
                    <w:r w:rsidR="009779DB">
                      <w:rPr>
                        <w:lang w:val="en-US"/>
                      </w:rPr>
                      <w:instrText xml:space="preserve"> CITATION Che84 \l 1033 </w:instrText>
                    </w:r>
                    <w:r w:rsidR="009779DB">
                      <w:fldChar w:fldCharType="separate"/>
                    </w:r>
                    <w:r w:rsidR="009779DB">
                      <w:rPr>
                        <w:noProof/>
                        <w:lang w:val="en-US"/>
                      </w:rPr>
                      <w:t>(Chernova)</w:t>
                    </w:r>
                    <w:r w:rsidR="009779DB">
                      <w:fldChar w:fldCharType="end"/>
                    </w:r>
                  </w:sdtContent>
                </w:sdt>
              </w:p>
              <w:p w14:paraId="540D6439" w14:textId="77777777" w:rsidR="009779DB" w:rsidRDefault="009779DB" w:rsidP="009779DB"/>
              <w:p w14:paraId="52C914B3" w14:textId="77777777" w:rsidR="009779DB" w:rsidRDefault="00DD1665" w:rsidP="009779DB">
                <w:sdt>
                  <w:sdtPr>
                    <w:id w:val="-519305997"/>
                    <w:citation/>
                  </w:sdtPr>
                  <w:sdtEndPr/>
                  <w:sdtContent>
                    <w:r w:rsidR="009779DB">
                      <w:fldChar w:fldCharType="begin"/>
                    </w:r>
                    <w:r w:rsidR="009779DB">
                      <w:rPr>
                        <w:lang w:val="en-US"/>
                      </w:rPr>
                      <w:instrText xml:space="preserve"> CITATION Che96 \l 1033 </w:instrText>
                    </w:r>
                    <w:r w:rsidR="009779DB">
                      <w:fldChar w:fldCharType="separate"/>
                    </w:r>
                    <w:r w:rsidR="009779DB">
                      <w:rPr>
                        <w:noProof/>
                        <w:lang w:val="en-US"/>
                      </w:rPr>
                      <w:t>(Chernova, Kasian Goleizovsky and Eccentric Dance)</w:t>
                    </w:r>
                    <w:r w:rsidR="009779DB">
                      <w:fldChar w:fldCharType="end"/>
                    </w:r>
                  </w:sdtContent>
                </w:sdt>
              </w:p>
              <w:p w14:paraId="3EA9E4F4" w14:textId="77777777" w:rsidR="009779DB" w:rsidRDefault="009779DB" w:rsidP="009779DB"/>
              <w:p w14:paraId="104A3A86" w14:textId="77777777" w:rsidR="00D750AF" w:rsidRDefault="00DD1665" w:rsidP="009779DB">
                <w:sdt>
                  <w:sdtPr>
                    <w:id w:val="1634446920"/>
                    <w:citation/>
                  </w:sdtPr>
                  <w:sdtEndPr/>
                  <w:sdtContent>
                    <w:r w:rsidR="009779DB">
                      <w:fldChar w:fldCharType="begin"/>
                    </w:r>
                    <w:r w:rsidR="009779DB">
                      <w:rPr>
                        <w:lang w:val="en-US"/>
                      </w:rPr>
                      <w:instrText xml:space="preserve"> CITATION Che00 \l 1033 </w:instrText>
                    </w:r>
                    <w:r w:rsidR="009779DB">
                      <w:fldChar w:fldCharType="separate"/>
                    </w:r>
                    <w:r w:rsidR="009779DB">
                      <w:rPr>
                        <w:noProof/>
                        <w:lang w:val="en-US"/>
                      </w:rPr>
                      <w:t>(Chernova, Kas’ian Goleizovsky v teatrakh miniatiur [Kas'ian Goleizovsky and the Theatre of Miniatures])</w:t>
                    </w:r>
                    <w:r w:rsidR="009779DB">
                      <w:fldChar w:fldCharType="end"/>
                    </w:r>
                  </w:sdtContent>
                </w:sdt>
              </w:p>
              <w:p w14:paraId="3348E53C" w14:textId="77777777" w:rsidR="00D750AF" w:rsidRDefault="00D750AF" w:rsidP="009779DB"/>
              <w:p w14:paraId="7600E383" w14:textId="77777777" w:rsidR="00D750AF" w:rsidRDefault="00DD1665" w:rsidP="009779DB">
                <w:sdt>
                  <w:sdtPr>
                    <w:id w:val="-900591251"/>
                    <w:citation/>
                  </w:sdtPr>
                  <w:sdtEndPr/>
                  <w:sdtContent>
                    <w:r w:rsidR="00D750AF">
                      <w:fldChar w:fldCharType="begin"/>
                    </w:r>
                    <w:r w:rsidR="00D750AF">
                      <w:rPr>
                        <w:lang w:val="en-US"/>
                      </w:rPr>
                      <w:instrText xml:space="preserve"> CITATION Mis11 \l 1033 </w:instrText>
                    </w:r>
                    <w:r w:rsidR="00D750AF">
                      <w:fldChar w:fldCharType="separate"/>
                    </w:r>
                    <w:r w:rsidR="00D750AF">
                      <w:rPr>
                        <w:noProof/>
                        <w:lang w:val="en-US"/>
                      </w:rPr>
                      <w:t>(Misler)</w:t>
                    </w:r>
                    <w:r w:rsidR="00D750AF">
                      <w:fldChar w:fldCharType="end"/>
                    </w:r>
                  </w:sdtContent>
                </w:sdt>
              </w:p>
              <w:p w14:paraId="7A0F6BA9" w14:textId="77777777" w:rsidR="00D750AF" w:rsidRDefault="00D750AF" w:rsidP="009779DB"/>
              <w:p w14:paraId="3714B2DA" w14:textId="225662F0" w:rsidR="003235A7" w:rsidRDefault="00DD1665" w:rsidP="009779DB">
                <w:sdt>
                  <w:sdtPr>
                    <w:id w:val="-1107888490"/>
                    <w:citation/>
                  </w:sdtPr>
                  <w:sdtEndPr/>
                  <w:sdtContent>
                    <w:r w:rsidR="00D750AF">
                      <w:fldChar w:fldCharType="begin"/>
                    </w:r>
                    <w:r w:rsidR="00D750AF">
                      <w:rPr>
                        <w:lang w:val="en-US"/>
                      </w:rPr>
                      <w:instrText xml:space="preserve"> CITATION Tei01 \l 1033 </w:instrText>
                    </w:r>
                    <w:r w:rsidR="00D750AF">
                      <w:fldChar w:fldCharType="separate"/>
                    </w:r>
                    <w:r w:rsidR="00D750AF">
                      <w:rPr>
                        <w:noProof/>
                        <w:lang w:val="en-US"/>
                      </w:rPr>
                      <w:t>(Teider)</w:t>
                    </w:r>
                    <w:r w:rsidR="00D750AF">
                      <w:fldChar w:fldCharType="end"/>
                    </w:r>
                  </w:sdtContent>
                </w:sdt>
              </w:p>
            </w:sdtContent>
          </w:sdt>
        </w:tc>
      </w:tr>
    </w:tbl>
    <w:p w14:paraId="0DE301C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15T13:12:00Z" w:initials="KJ">
    <w:p w14:paraId="0EBAFF89" w14:textId="2B174123" w:rsidR="00D750AF" w:rsidRDefault="00D750AF">
      <w:pPr>
        <w:pStyle w:val="CommentText"/>
      </w:pPr>
      <w:r>
        <w:rPr>
          <w:rStyle w:val="CommentReference"/>
        </w:rPr>
        <w:annotationRef/>
      </w:r>
      <w:r>
        <w:t>Source?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BC515" w14:textId="77777777" w:rsidR="00D750AF" w:rsidRDefault="00D750AF" w:rsidP="007A0D55">
      <w:pPr>
        <w:spacing w:after="0" w:line="240" w:lineRule="auto"/>
      </w:pPr>
      <w:r>
        <w:separator/>
      </w:r>
    </w:p>
  </w:endnote>
  <w:endnote w:type="continuationSeparator" w:id="0">
    <w:p w14:paraId="43F0AB3C" w14:textId="77777777" w:rsidR="00D750AF" w:rsidRDefault="00D750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78C3A" w14:textId="77777777" w:rsidR="00D750AF" w:rsidRDefault="00D750AF" w:rsidP="007A0D55">
      <w:pPr>
        <w:spacing w:after="0" w:line="240" w:lineRule="auto"/>
      </w:pPr>
      <w:r>
        <w:separator/>
      </w:r>
    </w:p>
  </w:footnote>
  <w:footnote w:type="continuationSeparator" w:id="0">
    <w:p w14:paraId="1F7C4AD6" w14:textId="77777777" w:rsidR="00D750AF" w:rsidRDefault="00D750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7F80B" w14:textId="77777777" w:rsidR="00D750AF" w:rsidRDefault="00D750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53ACD2" w14:textId="77777777" w:rsidR="00D750AF" w:rsidRDefault="00D750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BF"/>
    <w:rsid w:val="00032559"/>
    <w:rsid w:val="00052040"/>
    <w:rsid w:val="000B25AE"/>
    <w:rsid w:val="000B55AB"/>
    <w:rsid w:val="000D24DC"/>
    <w:rsid w:val="00101B2E"/>
    <w:rsid w:val="00116FA0"/>
    <w:rsid w:val="0015114C"/>
    <w:rsid w:val="001A21F3"/>
    <w:rsid w:val="001A2537"/>
    <w:rsid w:val="001A6A06"/>
    <w:rsid w:val="001C59CF"/>
    <w:rsid w:val="00210C03"/>
    <w:rsid w:val="002162E2"/>
    <w:rsid w:val="00225C5A"/>
    <w:rsid w:val="00230B10"/>
    <w:rsid w:val="00234353"/>
    <w:rsid w:val="00244BB0"/>
    <w:rsid w:val="002A0A0D"/>
    <w:rsid w:val="002B0B37"/>
    <w:rsid w:val="0030662D"/>
    <w:rsid w:val="003235A7"/>
    <w:rsid w:val="0032640E"/>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4EBF"/>
    <w:rsid w:val="005F26D7"/>
    <w:rsid w:val="005F5450"/>
    <w:rsid w:val="006D0412"/>
    <w:rsid w:val="007411B9"/>
    <w:rsid w:val="00780D95"/>
    <w:rsid w:val="00780DC7"/>
    <w:rsid w:val="007A0D55"/>
    <w:rsid w:val="007B3377"/>
    <w:rsid w:val="007E5F44"/>
    <w:rsid w:val="00821DE3"/>
    <w:rsid w:val="00846CE1"/>
    <w:rsid w:val="008A5B87"/>
    <w:rsid w:val="00922950"/>
    <w:rsid w:val="009779D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50AF"/>
    <w:rsid w:val="00D83300"/>
    <w:rsid w:val="00DC6B48"/>
    <w:rsid w:val="00DD1665"/>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DA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EBF"/>
    <w:rPr>
      <w:rFonts w:ascii="Lucida Grande" w:hAnsi="Lucida Grande" w:cs="Lucida Grande"/>
      <w:sz w:val="18"/>
      <w:szCs w:val="18"/>
    </w:rPr>
  </w:style>
  <w:style w:type="character" w:styleId="CommentReference">
    <w:name w:val="annotation reference"/>
    <w:basedOn w:val="DefaultParagraphFont"/>
    <w:uiPriority w:val="99"/>
    <w:semiHidden/>
    <w:rsid w:val="009779DB"/>
    <w:rPr>
      <w:sz w:val="18"/>
      <w:szCs w:val="18"/>
    </w:rPr>
  </w:style>
  <w:style w:type="paragraph" w:styleId="CommentText">
    <w:name w:val="annotation text"/>
    <w:basedOn w:val="Normal"/>
    <w:link w:val="CommentTextChar"/>
    <w:uiPriority w:val="99"/>
    <w:semiHidden/>
    <w:rsid w:val="009779DB"/>
    <w:pPr>
      <w:spacing w:line="240" w:lineRule="auto"/>
    </w:pPr>
    <w:rPr>
      <w:sz w:val="24"/>
      <w:szCs w:val="24"/>
    </w:rPr>
  </w:style>
  <w:style w:type="character" w:customStyle="1" w:styleId="CommentTextChar">
    <w:name w:val="Comment Text Char"/>
    <w:basedOn w:val="DefaultParagraphFont"/>
    <w:link w:val="CommentText"/>
    <w:uiPriority w:val="99"/>
    <w:semiHidden/>
    <w:rsid w:val="009779DB"/>
    <w:rPr>
      <w:sz w:val="24"/>
      <w:szCs w:val="24"/>
    </w:rPr>
  </w:style>
  <w:style w:type="paragraph" w:styleId="CommentSubject">
    <w:name w:val="annotation subject"/>
    <w:basedOn w:val="CommentText"/>
    <w:next w:val="CommentText"/>
    <w:link w:val="CommentSubjectChar"/>
    <w:uiPriority w:val="99"/>
    <w:semiHidden/>
    <w:rsid w:val="009779DB"/>
    <w:rPr>
      <w:b/>
      <w:bCs/>
      <w:sz w:val="20"/>
      <w:szCs w:val="20"/>
    </w:rPr>
  </w:style>
  <w:style w:type="character" w:customStyle="1" w:styleId="CommentSubjectChar">
    <w:name w:val="Comment Subject Char"/>
    <w:basedOn w:val="CommentTextChar"/>
    <w:link w:val="CommentSubject"/>
    <w:uiPriority w:val="99"/>
    <w:semiHidden/>
    <w:rsid w:val="009779D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EBF"/>
    <w:rPr>
      <w:rFonts w:ascii="Lucida Grande" w:hAnsi="Lucida Grande" w:cs="Lucida Grande"/>
      <w:sz w:val="18"/>
      <w:szCs w:val="18"/>
    </w:rPr>
  </w:style>
  <w:style w:type="character" w:styleId="CommentReference">
    <w:name w:val="annotation reference"/>
    <w:basedOn w:val="DefaultParagraphFont"/>
    <w:uiPriority w:val="99"/>
    <w:semiHidden/>
    <w:rsid w:val="009779DB"/>
    <w:rPr>
      <w:sz w:val="18"/>
      <w:szCs w:val="18"/>
    </w:rPr>
  </w:style>
  <w:style w:type="paragraph" w:styleId="CommentText">
    <w:name w:val="annotation text"/>
    <w:basedOn w:val="Normal"/>
    <w:link w:val="CommentTextChar"/>
    <w:uiPriority w:val="99"/>
    <w:semiHidden/>
    <w:rsid w:val="009779DB"/>
    <w:pPr>
      <w:spacing w:line="240" w:lineRule="auto"/>
    </w:pPr>
    <w:rPr>
      <w:sz w:val="24"/>
      <w:szCs w:val="24"/>
    </w:rPr>
  </w:style>
  <w:style w:type="character" w:customStyle="1" w:styleId="CommentTextChar">
    <w:name w:val="Comment Text Char"/>
    <w:basedOn w:val="DefaultParagraphFont"/>
    <w:link w:val="CommentText"/>
    <w:uiPriority w:val="99"/>
    <w:semiHidden/>
    <w:rsid w:val="009779DB"/>
    <w:rPr>
      <w:sz w:val="24"/>
      <w:szCs w:val="24"/>
    </w:rPr>
  </w:style>
  <w:style w:type="paragraph" w:styleId="CommentSubject">
    <w:name w:val="annotation subject"/>
    <w:basedOn w:val="CommentText"/>
    <w:next w:val="CommentText"/>
    <w:link w:val="CommentSubjectChar"/>
    <w:uiPriority w:val="99"/>
    <w:semiHidden/>
    <w:rsid w:val="009779DB"/>
    <w:rPr>
      <w:b/>
      <w:bCs/>
      <w:sz w:val="20"/>
      <w:szCs w:val="20"/>
    </w:rPr>
  </w:style>
  <w:style w:type="character" w:customStyle="1" w:styleId="CommentSubjectChar">
    <w:name w:val="Comment Subject Char"/>
    <w:basedOn w:val="CommentTextChar"/>
    <w:link w:val="CommentSubject"/>
    <w:uiPriority w:val="99"/>
    <w:semiHidden/>
    <w:rsid w:val="009779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13DE146773F9478E38EBB3EE022305"/>
        <w:category>
          <w:name w:val="General"/>
          <w:gallery w:val="placeholder"/>
        </w:category>
        <w:types>
          <w:type w:val="bbPlcHdr"/>
        </w:types>
        <w:behaviors>
          <w:behavior w:val="content"/>
        </w:behaviors>
        <w:guid w:val="{3E47062C-9B2F-C046-8C73-0B986BC012E6}"/>
      </w:docPartPr>
      <w:docPartBody>
        <w:p w:rsidR="003D3069" w:rsidRDefault="003D3069">
          <w:pPr>
            <w:pStyle w:val="4913DE146773F9478E38EBB3EE022305"/>
          </w:pPr>
          <w:r w:rsidRPr="00CC586D">
            <w:rPr>
              <w:rStyle w:val="PlaceholderText"/>
              <w:b/>
              <w:color w:val="FFFFFF" w:themeColor="background1"/>
            </w:rPr>
            <w:t>[Salutation]</w:t>
          </w:r>
        </w:p>
      </w:docPartBody>
    </w:docPart>
    <w:docPart>
      <w:docPartPr>
        <w:name w:val="097A8B98AF70E14B9AFDECACDD36DE7A"/>
        <w:category>
          <w:name w:val="General"/>
          <w:gallery w:val="placeholder"/>
        </w:category>
        <w:types>
          <w:type w:val="bbPlcHdr"/>
        </w:types>
        <w:behaviors>
          <w:behavior w:val="content"/>
        </w:behaviors>
        <w:guid w:val="{7C730651-FD54-3E42-8C57-C7B78C30F348}"/>
      </w:docPartPr>
      <w:docPartBody>
        <w:p w:rsidR="003D3069" w:rsidRDefault="003D3069">
          <w:pPr>
            <w:pStyle w:val="097A8B98AF70E14B9AFDECACDD36DE7A"/>
          </w:pPr>
          <w:r>
            <w:rPr>
              <w:rStyle w:val="PlaceholderText"/>
            </w:rPr>
            <w:t>[First name]</w:t>
          </w:r>
        </w:p>
      </w:docPartBody>
    </w:docPart>
    <w:docPart>
      <w:docPartPr>
        <w:name w:val="59FC2229558781429BB523E4A84593B4"/>
        <w:category>
          <w:name w:val="General"/>
          <w:gallery w:val="placeholder"/>
        </w:category>
        <w:types>
          <w:type w:val="bbPlcHdr"/>
        </w:types>
        <w:behaviors>
          <w:behavior w:val="content"/>
        </w:behaviors>
        <w:guid w:val="{544E97BF-89BA-EE42-9F4D-AF1E9220B69A}"/>
      </w:docPartPr>
      <w:docPartBody>
        <w:p w:rsidR="003D3069" w:rsidRDefault="003D3069">
          <w:pPr>
            <w:pStyle w:val="59FC2229558781429BB523E4A84593B4"/>
          </w:pPr>
          <w:r>
            <w:rPr>
              <w:rStyle w:val="PlaceholderText"/>
            </w:rPr>
            <w:t>[Middle name]</w:t>
          </w:r>
        </w:p>
      </w:docPartBody>
    </w:docPart>
    <w:docPart>
      <w:docPartPr>
        <w:name w:val="19D55F8E56B2A841890B7A76B52151E7"/>
        <w:category>
          <w:name w:val="General"/>
          <w:gallery w:val="placeholder"/>
        </w:category>
        <w:types>
          <w:type w:val="bbPlcHdr"/>
        </w:types>
        <w:behaviors>
          <w:behavior w:val="content"/>
        </w:behaviors>
        <w:guid w:val="{6B41AB44-B09B-7B4B-ACE9-30CB40B37A35}"/>
      </w:docPartPr>
      <w:docPartBody>
        <w:p w:rsidR="003D3069" w:rsidRDefault="003D3069">
          <w:pPr>
            <w:pStyle w:val="19D55F8E56B2A841890B7A76B52151E7"/>
          </w:pPr>
          <w:r>
            <w:rPr>
              <w:rStyle w:val="PlaceholderText"/>
            </w:rPr>
            <w:t>[Last name]</w:t>
          </w:r>
        </w:p>
      </w:docPartBody>
    </w:docPart>
    <w:docPart>
      <w:docPartPr>
        <w:name w:val="803B9E01706938429FE81F196F6AF2E0"/>
        <w:category>
          <w:name w:val="General"/>
          <w:gallery w:val="placeholder"/>
        </w:category>
        <w:types>
          <w:type w:val="bbPlcHdr"/>
        </w:types>
        <w:behaviors>
          <w:behavior w:val="content"/>
        </w:behaviors>
        <w:guid w:val="{06AFE401-9587-804A-976C-9F0027F55585}"/>
      </w:docPartPr>
      <w:docPartBody>
        <w:p w:rsidR="003D3069" w:rsidRDefault="003D3069">
          <w:pPr>
            <w:pStyle w:val="803B9E01706938429FE81F196F6AF2E0"/>
          </w:pPr>
          <w:r>
            <w:rPr>
              <w:rStyle w:val="PlaceholderText"/>
            </w:rPr>
            <w:t>[Enter your biography]</w:t>
          </w:r>
        </w:p>
      </w:docPartBody>
    </w:docPart>
    <w:docPart>
      <w:docPartPr>
        <w:name w:val="B0C5D1D26B768844816C743A02565C40"/>
        <w:category>
          <w:name w:val="General"/>
          <w:gallery w:val="placeholder"/>
        </w:category>
        <w:types>
          <w:type w:val="bbPlcHdr"/>
        </w:types>
        <w:behaviors>
          <w:behavior w:val="content"/>
        </w:behaviors>
        <w:guid w:val="{395A1B91-3A24-2E4E-8C3F-868B1C696050}"/>
      </w:docPartPr>
      <w:docPartBody>
        <w:p w:rsidR="003D3069" w:rsidRDefault="003D3069">
          <w:pPr>
            <w:pStyle w:val="B0C5D1D26B768844816C743A02565C40"/>
          </w:pPr>
          <w:r>
            <w:rPr>
              <w:rStyle w:val="PlaceholderText"/>
            </w:rPr>
            <w:t>[Enter the institution with which you are affiliated]</w:t>
          </w:r>
        </w:p>
      </w:docPartBody>
    </w:docPart>
    <w:docPart>
      <w:docPartPr>
        <w:name w:val="DC4ACF2272B9C748AC464B7A883F2D0A"/>
        <w:category>
          <w:name w:val="General"/>
          <w:gallery w:val="placeholder"/>
        </w:category>
        <w:types>
          <w:type w:val="bbPlcHdr"/>
        </w:types>
        <w:behaviors>
          <w:behavior w:val="content"/>
        </w:behaviors>
        <w:guid w:val="{8EB77D61-1CAB-E644-9CC6-23956ADA50F4}"/>
      </w:docPartPr>
      <w:docPartBody>
        <w:p w:rsidR="003D3069" w:rsidRDefault="003D3069">
          <w:pPr>
            <w:pStyle w:val="DC4ACF2272B9C748AC464B7A883F2D0A"/>
          </w:pPr>
          <w:r w:rsidRPr="00EF74F7">
            <w:rPr>
              <w:b/>
              <w:color w:val="808080" w:themeColor="background1" w:themeShade="80"/>
            </w:rPr>
            <w:t>[Enter the headword for your article]</w:t>
          </w:r>
        </w:p>
      </w:docPartBody>
    </w:docPart>
    <w:docPart>
      <w:docPartPr>
        <w:name w:val="48CF1C3E1E72A14F8F3B60C5401F547A"/>
        <w:category>
          <w:name w:val="General"/>
          <w:gallery w:val="placeholder"/>
        </w:category>
        <w:types>
          <w:type w:val="bbPlcHdr"/>
        </w:types>
        <w:behaviors>
          <w:behavior w:val="content"/>
        </w:behaviors>
        <w:guid w:val="{A79284DD-8CCE-F44B-929D-5D8BFB3880F4}"/>
      </w:docPartPr>
      <w:docPartBody>
        <w:p w:rsidR="003D3069" w:rsidRDefault="003D3069">
          <w:pPr>
            <w:pStyle w:val="48CF1C3E1E72A14F8F3B60C5401F54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9F50C08B3F304DACC4F96AE9AEA834"/>
        <w:category>
          <w:name w:val="General"/>
          <w:gallery w:val="placeholder"/>
        </w:category>
        <w:types>
          <w:type w:val="bbPlcHdr"/>
        </w:types>
        <w:behaviors>
          <w:behavior w:val="content"/>
        </w:behaviors>
        <w:guid w:val="{936E1B49-4A8B-CC46-BAB3-B090CF95554D}"/>
      </w:docPartPr>
      <w:docPartBody>
        <w:p w:rsidR="003D3069" w:rsidRDefault="003D3069">
          <w:pPr>
            <w:pStyle w:val="5D9F50C08B3F304DACC4F96AE9AEA8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C6C00E88E53547895D3537128899A1"/>
        <w:category>
          <w:name w:val="General"/>
          <w:gallery w:val="placeholder"/>
        </w:category>
        <w:types>
          <w:type w:val="bbPlcHdr"/>
        </w:types>
        <w:behaviors>
          <w:behavior w:val="content"/>
        </w:behaviors>
        <w:guid w:val="{6441D1BF-8C8C-AF47-9AB7-551B51F7A547}"/>
      </w:docPartPr>
      <w:docPartBody>
        <w:p w:rsidR="003D3069" w:rsidRDefault="003D3069">
          <w:pPr>
            <w:pStyle w:val="92C6C00E88E53547895D3537128899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4E5C233B9B254F8068582266CA5A21"/>
        <w:category>
          <w:name w:val="General"/>
          <w:gallery w:val="placeholder"/>
        </w:category>
        <w:types>
          <w:type w:val="bbPlcHdr"/>
        </w:types>
        <w:behaviors>
          <w:behavior w:val="content"/>
        </w:behaviors>
        <w:guid w:val="{46E332EC-6FD3-C04C-84C3-AF03481A0563}"/>
      </w:docPartPr>
      <w:docPartBody>
        <w:p w:rsidR="003D3069" w:rsidRDefault="003D3069">
          <w:pPr>
            <w:pStyle w:val="224E5C233B9B254F8068582266CA5A2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069"/>
    <w:rsid w:val="003D30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DE146773F9478E38EBB3EE022305">
    <w:name w:val="4913DE146773F9478E38EBB3EE022305"/>
  </w:style>
  <w:style w:type="paragraph" w:customStyle="1" w:styleId="097A8B98AF70E14B9AFDECACDD36DE7A">
    <w:name w:val="097A8B98AF70E14B9AFDECACDD36DE7A"/>
  </w:style>
  <w:style w:type="paragraph" w:customStyle="1" w:styleId="59FC2229558781429BB523E4A84593B4">
    <w:name w:val="59FC2229558781429BB523E4A84593B4"/>
  </w:style>
  <w:style w:type="paragraph" w:customStyle="1" w:styleId="19D55F8E56B2A841890B7A76B52151E7">
    <w:name w:val="19D55F8E56B2A841890B7A76B52151E7"/>
  </w:style>
  <w:style w:type="paragraph" w:customStyle="1" w:styleId="803B9E01706938429FE81F196F6AF2E0">
    <w:name w:val="803B9E01706938429FE81F196F6AF2E0"/>
  </w:style>
  <w:style w:type="paragraph" w:customStyle="1" w:styleId="B0C5D1D26B768844816C743A02565C40">
    <w:name w:val="B0C5D1D26B768844816C743A02565C40"/>
  </w:style>
  <w:style w:type="paragraph" w:customStyle="1" w:styleId="DC4ACF2272B9C748AC464B7A883F2D0A">
    <w:name w:val="DC4ACF2272B9C748AC464B7A883F2D0A"/>
  </w:style>
  <w:style w:type="paragraph" w:customStyle="1" w:styleId="48CF1C3E1E72A14F8F3B60C5401F547A">
    <w:name w:val="48CF1C3E1E72A14F8F3B60C5401F547A"/>
  </w:style>
  <w:style w:type="paragraph" w:customStyle="1" w:styleId="5D9F50C08B3F304DACC4F96AE9AEA834">
    <w:name w:val="5D9F50C08B3F304DACC4F96AE9AEA834"/>
  </w:style>
  <w:style w:type="paragraph" w:customStyle="1" w:styleId="92C6C00E88E53547895D3537128899A1">
    <w:name w:val="92C6C00E88E53547895D3537128899A1"/>
  </w:style>
  <w:style w:type="paragraph" w:customStyle="1" w:styleId="224E5C233B9B254F8068582266CA5A21">
    <w:name w:val="224E5C233B9B254F8068582266CA5A2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DE146773F9478E38EBB3EE022305">
    <w:name w:val="4913DE146773F9478E38EBB3EE022305"/>
  </w:style>
  <w:style w:type="paragraph" w:customStyle="1" w:styleId="097A8B98AF70E14B9AFDECACDD36DE7A">
    <w:name w:val="097A8B98AF70E14B9AFDECACDD36DE7A"/>
  </w:style>
  <w:style w:type="paragraph" w:customStyle="1" w:styleId="59FC2229558781429BB523E4A84593B4">
    <w:name w:val="59FC2229558781429BB523E4A84593B4"/>
  </w:style>
  <w:style w:type="paragraph" w:customStyle="1" w:styleId="19D55F8E56B2A841890B7A76B52151E7">
    <w:name w:val="19D55F8E56B2A841890B7A76B52151E7"/>
  </w:style>
  <w:style w:type="paragraph" w:customStyle="1" w:styleId="803B9E01706938429FE81F196F6AF2E0">
    <w:name w:val="803B9E01706938429FE81F196F6AF2E0"/>
  </w:style>
  <w:style w:type="paragraph" w:customStyle="1" w:styleId="B0C5D1D26B768844816C743A02565C40">
    <w:name w:val="B0C5D1D26B768844816C743A02565C40"/>
  </w:style>
  <w:style w:type="paragraph" w:customStyle="1" w:styleId="DC4ACF2272B9C748AC464B7A883F2D0A">
    <w:name w:val="DC4ACF2272B9C748AC464B7A883F2D0A"/>
  </w:style>
  <w:style w:type="paragraph" w:customStyle="1" w:styleId="48CF1C3E1E72A14F8F3B60C5401F547A">
    <w:name w:val="48CF1C3E1E72A14F8F3B60C5401F547A"/>
  </w:style>
  <w:style w:type="paragraph" w:customStyle="1" w:styleId="5D9F50C08B3F304DACC4F96AE9AEA834">
    <w:name w:val="5D9F50C08B3F304DACC4F96AE9AEA834"/>
  </w:style>
  <w:style w:type="paragraph" w:customStyle="1" w:styleId="92C6C00E88E53547895D3537128899A1">
    <w:name w:val="92C6C00E88E53547895D3537128899A1"/>
  </w:style>
  <w:style w:type="paragraph" w:customStyle="1" w:styleId="224E5C233B9B254F8068582266CA5A21">
    <w:name w:val="224E5C233B9B254F8068582266CA5A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Che84</b:Tag>
    <b:SourceType>Book</b:SourceType>
    <b:Guid>{C272A8EC-5130-3A4A-B825-97856A4A339E}</b:Guid>
    <b:Author>
      <b:Author>
        <b:NameList>
          <b:Person>
            <b:Last>Chernova</b:Last>
            <b:First>N.</b:First>
          </b:Person>
        </b:NameList>
      </b:Author>
    </b:Author>
    <b:Title>Kas’ian Goleizovsky. Zhizn’ i tvorchestvo [Kas’an Goleizovsky. Life and Art]</b:Title>
    <b:City>Moscow</b:City>
    <b:CountryRegion>Russia</b:CountryRegion>
    <b:Publisher>VTO</b:Publisher>
    <b:Year>1984</b:Year>
    <b:Comments>A pioneering monograph on Goleizovsky’s life and work.</b:Comments>
    <b:RefOrder>1</b:RefOrder>
  </b:Source>
  <b:Source>
    <b:Tag>Che96</b:Tag>
    <b:SourceType>JournalArticle</b:SourceType>
    <b:Guid>{A969196A-8355-814F-8EA5-7E0EF99DE0DF}</b:Guid>
    <b:Author>
      <b:Author>
        <b:NameList>
          <b:Person>
            <b:Last>Chernova</b:Last>
            <b:First>N.</b:First>
          </b:Person>
        </b:NameList>
      </b:Author>
    </b:Author>
    <b:Title>Kasian Goleizovsky and Eccentric Dance</b:Title>
    <b:Year>1996</b:Year>
    <b:Volume>II</b:Volume>
    <b:Pages>381-409</b:Pages>
    <b:Comments>An appraisal of Goleizovsky’s eccentric dances and a discussion of their immediate cultural context.</b:Comments>
    <b:JournalName>Experiment</b:JournalName>
    <b:RefOrder>2</b:RefOrder>
  </b:Source>
  <b:Source>
    <b:Tag>Che00</b:Tag>
    <b:SourceType>JournalArticle</b:SourceType>
    <b:Guid>{14AA0ACF-78F5-7F4C-A9A2-DD8B610F9B35}</b:Guid>
    <b:Author>
      <b:Author>
        <b:NameList>
          <b:Person>
            <b:Last>Chernova</b:Last>
            <b:First>N.</b:First>
          </b:Person>
        </b:NameList>
      </b:Author>
      <b:Editor>
        <b:NameList>
          <b:Person>
            <b:Last>Ivanov</b:Last>
            <b:First>V.</b:First>
          </b:Person>
        </b:NameList>
      </b:Editor>
    </b:Author>
    <b:Title>Kas’ian Goleizovsky v teatrakh miniatiur [Kas'ian Goleizovsky and the Theatre of Miniatures]</b:Title>
    <b:JournalName>Mnemozina. Dokumenty i fakty iz istorii otechestvennogo teatra XX veka [Documents and Facts of the History of Twentieth-Century Theatre]</b:JournalName>
    <b:Year>2000</b:Year>
    <b:Volume>II</b:Volume>
    <b:Pages>338=49</b:Pages>
    <b:BookTitle>Mnemozina. Dokumenty i fakty iz istorii otechestvennogo teatra XX veka [Documents and Facts of the History of Twentieth-Century Theatre]</b:BookTitle>
    <b:RefOrder>3</b:RefOrder>
  </b:Source>
  <b:Source>
    <b:Tag>Mis11</b:Tag>
    <b:SourceType>ArticleInAPeriodical</b:SourceType>
    <b:Guid>{F6A0F533-6FAA-8142-B277-C0C590958368}</b:Guid>
    <b:Author>
      <b:Author>
        <b:NameList>
          <b:Person>
            <b:Last>Misler</b:Last>
            <b:First>N.</b:First>
          </b:Person>
        </b:NameList>
      </b:Author>
    </b:Author>
    <b:Title>Telo ekstaticheskoe [The Ecstatic Body]</b:Title>
    <b:City>Moscow</b:City>
    <b:Year>2011</b:Year>
    <b:Volume>XXI</b:Volume>
    <b:Pages>190-213</b:Pages>
    <b:Comments>An analysis of Goleizovsky’s concept of the ecstatic dance.</b:Comments>
    <b:BookTitle>V nachale bylo telo  [In the Beginning was the Body]</b:BookTitle>
    <b:CountryRegion>Russia</b:CountryRegion>
    <b:PeriodicalTitle>Iskusstvo</b:PeriodicalTitle>
    <b:RefOrder>4</b:RefOrder>
  </b:Source>
  <b:Source>
    <b:Tag>Tei01</b:Tag>
    <b:SourceType>Book</b:SourceType>
    <b:Guid>{CB5D13EB-800F-DB4F-9F53-701AB0E6D9CB}</b:Guid>
    <b:Author>
      <b:Author>
        <b:NameList>
          <b:Person>
            <b:Last>Teider</b:Last>
            <b:First>V.</b:First>
          </b:Person>
        </b:NameList>
      </b:Author>
    </b:Author>
    <b:Title>Kas’ian Goleizovsky. Iosif Prekrasnyi [Kas’ian. Joseph the Beautiful]</b:Title>
    <b:Publisher>Nauka</b:Publisher>
    <b:City>Moscow</b:City>
    <b:Year>2001</b:Year>
    <b:Comments>An analysis of Goleizovsky’s 1925 avant-garde work for the Bolshoi Theatre.</b:Comments>
    <b:CountryRegion>Russia</b:CountryRegion>
    <b:RefOrder>5</b:RefOrder>
  </b:Source>
</b:Sources>
</file>

<file path=customXml/itemProps1.xml><?xml version="1.0" encoding="utf-8"?>
<ds:datastoreItem xmlns:ds="http://schemas.openxmlformats.org/officeDocument/2006/customXml" ds:itemID="{00147130-EB55-3C45-90EE-8D25A282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1190</Words>
  <Characters>6784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2015-01-15T21:01:00Z</dcterms:created>
  <dcterms:modified xsi:type="dcterms:W3CDTF">2015-03-15T23:22:00Z</dcterms:modified>
</cp:coreProperties>
</file>