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ECEF6B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7EDF89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5AE18A50E94AE45BEC2534CCCBB418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F657A9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194584FF6197940A8F55DA6A92782FF"/>
            </w:placeholder>
            <w:text/>
          </w:sdtPr>
          <w:sdtEndPr/>
          <w:sdtContent>
            <w:tc>
              <w:tcPr>
                <w:tcW w:w="2073" w:type="dxa"/>
              </w:tcPr>
              <w:p w14:paraId="431DABC2" w14:textId="77777777" w:rsidR="00B574C9" w:rsidRDefault="00FF4887" w:rsidP="00FF4887">
                <w:r w:rsidRPr="00FF4887">
                  <w:rPr>
                    <w:lang w:val="en-US"/>
                  </w:rPr>
                  <w:t xml:space="preserve">Nicholas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96BDCFC9BFE82499461049B99455A1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452F955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CF25389218D8149AF5B0DDE796DA94C"/>
            </w:placeholder>
            <w:text/>
          </w:sdtPr>
          <w:sdtEndPr/>
          <w:sdtContent>
            <w:tc>
              <w:tcPr>
                <w:tcW w:w="2642" w:type="dxa"/>
              </w:tcPr>
              <w:p w14:paraId="5E341322" w14:textId="77777777" w:rsidR="00B574C9" w:rsidRDefault="00FF4887" w:rsidP="00922950">
                <w:r w:rsidRPr="00FF4887">
                  <w:rPr>
                    <w:lang w:val="en-US" w:eastAsia="ja-JP"/>
                  </w:rPr>
                  <w:t>Forster</w:t>
                </w:r>
              </w:p>
            </w:tc>
          </w:sdtContent>
        </w:sdt>
      </w:tr>
      <w:tr w:rsidR="00B574C9" w14:paraId="1CBC317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4DB8B8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5DD4044EABA264EA2E4986B0CA34C1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5843A4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EE2CAE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AC1CE1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46CA2A3262C954290D6239072E2EF40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80BFC81" w14:textId="77777777" w:rsidR="00B574C9" w:rsidRDefault="00FF4887" w:rsidP="00B574C9">
                <w:r w:rsidRPr="00FF4887">
                  <w:rPr>
                    <w:lang w:val="en-US"/>
                  </w:rPr>
                  <w:t>Yale University</w:t>
                </w:r>
              </w:p>
            </w:tc>
          </w:sdtContent>
        </w:sdt>
      </w:tr>
    </w:tbl>
    <w:p w14:paraId="5D8E413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B8076AC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568408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0EC9916" w14:textId="77777777" w:rsidTr="003F0D73">
        <w:sdt>
          <w:sdtPr>
            <w:alias w:val="Article headword"/>
            <w:tag w:val="articleHeadword"/>
            <w:id w:val="-361440020"/>
            <w:placeholder>
              <w:docPart w:val="20FF108D340BA844829899CE99680BD2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A559973" w14:textId="2BFECE13" w:rsidR="003F0D73" w:rsidRPr="00FB589A" w:rsidRDefault="00FF4887" w:rsidP="000A3F4B">
                <w:pPr>
                  <w:rPr>
                    <w:b/>
                  </w:rPr>
                </w:pPr>
                <w:proofErr w:type="spellStart"/>
                <w:r w:rsidRPr="000A3F4B">
                  <w:rPr>
                    <w:lang w:val="en-US" w:eastAsia="ja-JP"/>
                  </w:rPr>
                  <w:t>Micheaux</w:t>
                </w:r>
                <w:proofErr w:type="spellEnd"/>
                <w:r w:rsidRPr="000A3F4B">
                  <w:t xml:space="preserve">, </w:t>
                </w:r>
                <w:r w:rsidRPr="000A3F4B">
                  <w:rPr>
                    <w:lang w:val="en-US"/>
                  </w:rPr>
                  <w:t>Oscar (1884</w:t>
                </w:r>
                <w:r w:rsidR="000A3F4B" w:rsidRPr="000A3F4B">
                  <w:rPr>
                    <w:lang w:val="en-US"/>
                  </w:rPr>
                  <w:t>-</w:t>
                </w:r>
                <w:r w:rsidRPr="000A3F4B">
                  <w:rPr>
                    <w:lang w:val="en-US"/>
                  </w:rPr>
                  <w:t>1951)</w:t>
                </w:r>
              </w:p>
            </w:tc>
          </w:sdtContent>
        </w:sdt>
      </w:tr>
      <w:tr w:rsidR="00464699" w14:paraId="6F225E83" w14:textId="77777777" w:rsidTr="00FF4887">
        <w:sdt>
          <w:sdtPr>
            <w:alias w:val="Variant headwords"/>
            <w:tag w:val="variantHeadwords"/>
            <w:id w:val="173464402"/>
            <w:placeholder>
              <w:docPart w:val="2D1D6B7DD29DB34186DFCDED97882E8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FB99F5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DEC4F80" w14:textId="77777777" w:rsidTr="003F0D73">
        <w:sdt>
          <w:sdtPr>
            <w:alias w:val="Abstract"/>
            <w:tag w:val="abstract"/>
            <w:id w:val="-635871867"/>
            <w:placeholder>
              <w:docPart w:val="389EC17349B637439DB21A8DCAF2276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7552607" w14:textId="77777777" w:rsidR="000A3F4B" w:rsidRDefault="000A3F4B" w:rsidP="000A3F4B">
                <w:r w:rsidRPr="00FF4887">
                  <w:t xml:space="preserve">Oscar </w:t>
                </w:r>
                <w:proofErr w:type="spellStart"/>
                <w:r w:rsidRPr="00FF4887">
                  <w:t>Micheaux</w:t>
                </w:r>
                <w:proofErr w:type="spellEnd"/>
                <w:r w:rsidRPr="00FF4887">
                  <w:t xml:space="preserve">, generally regarded as the first black feature film director, was an African-American writer, director, and author of seven novels and more than forty films. </w:t>
                </w:r>
                <w:r>
                  <w:t>Often associated with the</w:t>
                </w:r>
                <w:r w:rsidRPr="00FF4887">
                  <w:t xml:space="preserve"> spirit of uplift that would become </w:t>
                </w:r>
                <w:r>
                  <w:t>prevalent during</w:t>
                </w:r>
                <w:r w:rsidRPr="00FF4887">
                  <w:t xml:space="preserve"> the Harlem Renaissance, </w:t>
                </w:r>
                <w:proofErr w:type="spellStart"/>
                <w:r w:rsidRPr="00FF4887">
                  <w:t>Micheaux’s</w:t>
                </w:r>
                <w:proofErr w:type="spellEnd"/>
                <w:r w:rsidRPr="00FF4887">
                  <w:t xml:space="preserve"> work was independently envisioned and yet addressed broader black audiences</w:t>
                </w:r>
                <w:r>
                  <w:t xml:space="preserve">. </w:t>
                </w:r>
              </w:p>
              <w:p w14:paraId="48A0D2CD" w14:textId="77777777" w:rsidR="000A3F4B" w:rsidRDefault="000A3F4B" w:rsidP="000A3F4B"/>
              <w:p w14:paraId="1490B13E" w14:textId="54A5764D" w:rsidR="00E85A05" w:rsidRDefault="000A3F4B" w:rsidP="00E85A05">
                <w:r w:rsidRPr="00FF4887">
                  <w:t xml:space="preserve">In 1917, following the release of </w:t>
                </w:r>
                <w:proofErr w:type="spellStart"/>
                <w:r w:rsidRPr="00FF4887">
                  <w:t>Micheaux’s</w:t>
                </w:r>
                <w:proofErr w:type="spellEnd"/>
                <w:r w:rsidRPr="00FF4887">
                  <w:t xml:space="preserve"> third novel, </w:t>
                </w:r>
                <w:r w:rsidRPr="00FF4887">
                  <w:rPr>
                    <w:i/>
                  </w:rPr>
                  <w:t>The Homesteader</w:t>
                </w:r>
                <w:r w:rsidRPr="00FF4887">
                  <w:t>, the Lincoln Motion Picture</w:t>
                </w:r>
                <w:r>
                  <w:t xml:space="preserve"> Company (</w:t>
                </w:r>
                <w:r w:rsidRPr="00FF4887">
                  <w:t>an early black film company</w:t>
                </w:r>
                <w:r>
                  <w:t>)</w:t>
                </w:r>
                <w:r w:rsidRPr="00FF4887">
                  <w:t xml:space="preserve"> attempted to purchase the rights to turn </w:t>
                </w:r>
                <w:proofErr w:type="spellStart"/>
                <w:r w:rsidRPr="00FF4887">
                  <w:t>Micheaux’s</w:t>
                </w:r>
                <w:proofErr w:type="spellEnd"/>
                <w:r w:rsidRPr="00FF4887">
                  <w:t xml:space="preserve"> novel into a film. However, </w:t>
                </w:r>
                <w:proofErr w:type="spellStart"/>
                <w:r w:rsidRPr="00FF4887">
                  <w:t>Micheaux</w:t>
                </w:r>
                <w:proofErr w:type="spellEnd"/>
                <w:r w:rsidRPr="00FF4887">
                  <w:t xml:space="preserve"> insisted on creative control and turned down the offer, opting to found his own film studio in 1918</w:t>
                </w:r>
                <w:r>
                  <w:t xml:space="preserve"> called</w:t>
                </w:r>
                <w:r w:rsidRPr="00FF4887">
                  <w:t xml:space="preserve"> the </w:t>
                </w:r>
                <w:proofErr w:type="spellStart"/>
                <w:r w:rsidRPr="00FF4887">
                  <w:t>Micheaux</w:t>
                </w:r>
                <w:proofErr w:type="spellEnd"/>
                <w:r>
                  <w:t xml:space="preserve"> Film and Book Company. </w:t>
                </w:r>
                <w:proofErr w:type="spellStart"/>
                <w:r w:rsidRPr="00FF4887">
                  <w:t>Micheaux’s</w:t>
                </w:r>
                <w:proofErr w:type="spellEnd"/>
                <w:r w:rsidRPr="00FF4887">
                  <w:t xml:space="preserve"> second film, </w:t>
                </w:r>
                <w:r w:rsidRPr="00FF4887">
                  <w:rPr>
                    <w:i/>
                  </w:rPr>
                  <w:t>Within Our Gates</w:t>
                </w:r>
                <w:r w:rsidRPr="00FF4887">
                  <w:t xml:space="preserve"> (1920)</w:t>
                </w:r>
                <w:r>
                  <w:t>,</w:t>
                </w:r>
                <w:r w:rsidRPr="00FF4887">
                  <w:t xml:space="preserve"> is considered his most important and is often seen as a response to D.</w:t>
                </w:r>
                <w:r>
                  <w:t xml:space="preserve"> </w:t>
                </w:r>
                <w:r w:rsidRPr="00FF4887">
                  <w:t xml:space="preserve">W. Griffith’s </w:t>
                </w:r>
                <w:r w:rsidRPr="00FF4887">
                  <w:rPr>
                    <w:i/>
                  </w:rPr>
                  <w:t>The Birth of a Nation</w:t>
                </w:r>
                <w:r w:rsidRPr="00FF4887">
                  <w:t xml:space="preserve"> (1915). </w:t>
                </w:r>
              </w:p>
            </w:tc>
          </w:sdtContent>
        </w:sdt>
      </w:tr>
      <w:tr w:rsidR="003F0D73" w14:paraId="5E15C285" w14:textId="77777777" w:rsidTr="003F0D73">
        <w:sdt>
          <w:sdtPr>
            <w:alias w:val="Article text"/>
            <w:tag w:val="articleText"/>
            <w:id w:val="634067588"/>
            <w:placeholder>
              <w:docPart w:val="571E900087057647BDE444D5489D126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F6E473E" w14:textId="21949DF0" w:rsidR="004A4C5F" w:rsidRDefault="00FF4887" w:rsidP="00FF4887">
                <w:r w:rsidRPr="00FF4887">
                  <w:t xml:space="preserve">Oscar </w:t>
                </w:r>
                <w:proofErr w:type="spellStart"/>
                <w:r w:rsidRPr="00FF4887">
                  <w:t>Micheaux</w:t>
                </w:r>
                <w:proofErr w:type="spellEnd"/>
                <w:r w:rsidRPr="00FF4887">
                  <w:t xml:space="preserve">, generally regarded as the first black feature film director, was an African-American writer, director, and author of seven novels and more than forty films. </w:t>
                </w:r>
                <w:r>
                  <w:t>Often associated with the</w:t>
                </w:r>
                <w:r w:rsidRPr="00FF4887">
                  <w:t xml:space="preserve"> spirit of uplift that would become </w:t>
                </w:r>
                <w:r w:rsidR="000A3F4B">
                  <w:t>prevalent during</w:t>
                </w:r>
                <w:r w:rsidRPr="00FF4887">
                  <w:t xml:space="preserve"> the Harlem Renaissance, </w:t>
                </w:r>
                <w:proofErr w:type="spellStart"/>
                <w:r w:rsidRPr="00FF4887">
                  <w:t>Micheaux’s</w:t>
                </w:r>
                <w:proofErr w:type="spellEnd"/>
                <w:r w:rsidRPr="00FF4887">
                  <w:t xml:space="preserve"> work was independently envisioned and yet addressed broader black audiences</w:t>
                </w:r>
                <w:r>
                  <w:t xml:space="preserve">. </w:t>
                </w:r>
              </w:p>
              <w:p w14:paraId="5B48226C" w14:textId="77777777" w:rsidR="004A4C5F" w:rsidRDefault="004A4C5F" w:rsidP="00FF4887"/>
              <w:p w14:paraId="3DB288EA" w14:textId="5D7BC425" w:rsidR="00FF4887" w:rsidRDefault="00FF4887" w:rsidP="00FF4887">
                <w:r w:rsidRPr="00FF4887">
                  <w:t xml:space="preserve">In 1917, following the release of </w:t>
                </w:r>
                <w:proofErr w:type="spellStart"/>
                <w:r w:rsidRPr="00FF4887">
                  <w:t>Micheaux’s</w:t>
                </w:r>
                <w:proofErr w:type="spellEnd"/>
                <w:r w:rsidRPr="00FF4887">
                  <w:t xml:space="preserve"> third novel, </w:t>
                </w:r>
                <w:r w:rsidRPr="00FF4887">
                  <w:rPr>
                    <w:i/>
                  </w:rPr>
                  <w:t>The Homesteader</w:t>
                </w:r>
                <w:r w:rsidRPr="00FF4887">
                  <w:t>, the Lincoln Motion Picture</w:t>
                </w:r>
                <w:r>
                  <w:t xml:space="preserve"> Company (</w:t>
                </w:r>
                <w:r w:rsidRPr="00FF4887">
                  <w:t>an early black film company</w:t>
                </w:r>
                <w:r>
                  <w:t>)</w:t>
                </w:r>
                <w:r w:rsidRPr="00FF4887">
                  <w:t xml:space="preserve"> attempted to purchase the rights to turn </w:t>
                </w:r>
                <w:proofErr w:type="spellStart"/>
                <w:r w:rsidRPr="00FF4887">
                  <w:t>Micheaux’s</w:t>
                </w:r>
                <w:proofErr w:type="spellEnd"/>
                <w:r w:rsidRPr="00FF4887">
                  <w:t xml:space="preserve"> novel into a film. However, </w:t>
                </w:r>
                <w:proofErr w:type="spellStart"/>
                <w:r w:rsidRPr="00FF4887">
                  <w:t>Micheaux</w:t>
                </w:r>
                <w:proofErr w:type="spellEnd"/>
                <w:r w:rsidRPr="00FF4887">
                  <w:t xml:space="preserve"> insisted on creative control and turned down the offer, opting to found his own film studio in 1918</w:t>
                </w:r>
                <w:r>
                  <w:t xml:space="preserve"> called</w:t>
                </w:r>
                <w:r w:rsidRPr="00FF4887">
                  <w:t xml:space="preserve"> the </w:t>
                </w:r>
                <w:proofErr w:type="spellStart"/>
                <w:r w:rsidRPr="00FF4887">
                  <w:t>Micheaux</w:t>
                </w:r>
                <w:proofErr w:type="spellEnd"/>
                <w:r>
                  <w:t xml:space="preserve"> Film and Book Company. </w:t>
                </w:r>
                <w:proofErr w:type="spellStart"/>
                <w:r w:rsidRPr="00FF4887">
                  <w:t>Micheaux’s</w:t>
                </w:r>
                <w:proofErr w:type="spellEnd"/>
                <w:r w:rsidRPr="00FF4887">
                  <w:t xml:space="preserve"> second film, </w:t>
                </w:r>
                <w:r w:rsidRPr="00FF4887">
                  <w:rPr>
                    <w:i/>
                  </w:rPr>
                  <w:t>Within Our Gates</w:t>
                </w:r>
                <w:r w:rsidRPr="00FF4887">
                  <w:t xml:space="preserve"> (1920)</w:t>
                </w:r>
                <w:r>
                  <w:t>,</w:t>
                </w:r>
                <w:r w:rsidRPr="00FF4887">
                  <w:t xml:space="preserve"> is considered his most important and is often seen as a response to D.</w:t>
                </w:r>
                <w:r w:rsidR="000A3F4B">
                  <w:t xml:space="preserve"> </w:t>
                </w:r>
                <w:r w:rsidRPr="00FF4887">
                  <w:t xml:space="preserve">W. Griffith’s </w:t>
                </w:r>
                <w:r w:rsidRPr="00FF4887">
                  <w:rPr>
                    <w:i/>
                  </w:rPr>
                  <w:t>The Birth of a Nation</w:t>
                </w:r>
                <w:r w:rsidRPr="00FF4887">
                  <w:t xml:space="preserve"> (1915). </w:t>
                </w:r>
              </w:p>
              <w:p w14:paraId="053B4151" w14:textId="77777777" w:rsidR="00FF4887" w:rsidRDefault="00FF4887" w:rsidP="00FF4887"/>
              <w:p w14:paraId="4D457EC4" w14:textId="13ACD570" w:rsidR="00FF4887" w:rsidRPr="00FF4887" w:rsidRDefault="00FF4887" w:rsidP="00FF4887">
                <w:r>
                  <w:t>As o</w:t>
                </w:r>
                <w:r w:rsidRPr="00FF4887">
                  <w:t xml:space="preserve">ne of the few black directors in the first half of the twentieth century, </w:t>
                </w:r>
                <w:proofErr w:type="spellStart"/>
                <w:r w:rsidRPr="00FF4887">
                  <w:t>Micheaux</w:t>
                </w:r>
                <w:proofErr w:type="spellEnd"/>
                <w:r w:rsidRPr="00FF4887">
                  <w:t xml:space="preserve"> is known for his race films, which often featured quick cuts, flashbacks</w:t>
                </w:r>
                <w:r>
                  <w:t>,</w:t>
                </w:r>
                <w:r w:rsidRPr="00FF4887">
                  <w:t xml:space="preserve"> and complicated narratives that portrayed America as unstable and fractured. To appease state censors, </w:t>
                </w:r>
                <w:proofErr w:type="spellStart"/>
                <w:r w:rsidRPr="00FF4887">
                  <w:t>Micheaux</w:t>
                </w:r>
                <w:proofErr w:type="spellEnd"/>
                <w:r w:rsidRPr="00FF4887">
                  <w:t xml:space="preserve"> often recut his films, creating different versions in different cities and thus prevented a singular vision of his film. This style</w:t>
                </w:r>
                <w:r>
                  <w:t xml:space="preserve"> —</w:t>
                </w:r>
                <w:r w:rsidRPr="00FF4887">
                  <w:t xml:space="preserve"> combined with the large communal casts and emphasis on uplift</w:t>
                </w:r>
                <w:r>
                  <w:t xml:space="preserve"> —</w:t>
                </w:r>
                <w:r w:rsidRPr="00FF4887">
                  <w:t xml:space="preserve"> provided a new </w:t>
                </w:r>
                <w:r>
                  <w:t xml:space="preserve">cinematic </w:t>
                </w:r>
                <w:r w:rsidRPr="00FF4887">
                  <w:t xml:space="preserve">form and a different type of modernism. Despite his prolific output, </w:t>
                </w:r>
                <w:r w:rsidR="000A3F4B">
                  <w:t>which spanned both</w:t>
                </w:r>
                <w:r w:rsidRPr="00FF4887">
                  <w:t xml:space="preserve"> the silent and sound era</w:t>
                </w:r>
                <w:r w:rsidR="000A3F4B">
                  <w:t>s</w:t>
                </w:r>
                <w:r w:rsidRPr="00FF4887">
                  <w:t xml:space="preserve">, many of </w:t>
                </w:r>
                <w:proofErr w:type="spellStart"/>
                <w:r w:rsidRPr="00FF4887">
                  <w:t>Micheaux’s</w:t>
                </w:r>
                <w:proofErr w:type="spellEnd"/>
                <w:r w:rsidRPr="00FF4887">
                  <w:t xml:space="preserve"> films are lost today.</w:t>
                </w:r>
              </w:p>
              <w:p w14:paraId="7E1D03D6" w14:textId="77777777" w:rsidR="009A72B7" w:rsidRDefault="009A72B7" w:rsidP="00C27FAB"/>
              <w:p w14:paraId="3A291264" w14:textId="6C804520" w:rsidR="009A72B7" w:rsidRDefault="009A72B7" w:rsidP="009A72B7">
                <w:pPr>
                  <w:pStyle w:val="Heading1"/>
                  <w:outlineLvl w:val="0"/>
                </w:pPr>
                <w:r>
                  <w:t>Selected</w:t>
                </w:r>
                <w:r w:rsidR="000A3F4B">
                  <w:t xml:space="preserve"> List of</w:t>
                </w:r>
                <w:r w:rsidRPr="005A157F">
                  <w:t xml:space="preserve"> Works:</w:t>
                </w:r>
              </w:p>
              <w:p w14:paraId="54B364A9" w14:textId="384CC218" w:rsidR="009A72B7" w:rsidRDefault="000A3F4B" w:rsidP="009A72B7">
                <w:pPr>
                  <w:pStyle w:val="Heading2"/>
                  <w:outlineLvl w:val="1"/>
                </w:pPr>
                <w:r>
                  <w:lastRenderedPageBreak/>
                  <w:t>Novels</w:t>
                </w:r>
              </w:p>
              <w:p w14:paraId="01299B8A" w14:textId="77777777" w:rsidR="009A72B7" w:rsidRPr="007D3E11" w:rsidRDefault="009A72B7" w:rsidP="000A3F4B">
                <w:pPr>
                  <w:pStyle w:val="NormalfollowingH2"/>
                </w:pPr>
                <w:r w:rsidRPr="000A3F4B">
                  <w:rPr>
                    <w:i/>
                  </w:rPr>
                  <w:t>Conquest: The Story of a Negro Pioneer</w:t>
                </w:r>
                <w:r>
                  <w:t xml:space="preserve"> (1913)</w:t>
                </w:r>
              </w:p>
              <w:p w14:paraId="34409F14" w14:textId="77777777" w:rsidR="009A72B7" w:rsidRDefault="009A72B7" w:rsidP="000A3F4B">
                <w:pPr>
                  <w:pStyle w:val="NormalfollowingH2"/>
                </w:pPr>
                <w:r w:rsidRPr="000A3F4B">
                  <w:rPr>
                    <w:i/>
                  </w:rPr>
                  <w:t>The Homesteader</w:t>
                </w:r>
                <w:r>
                  <w:t xml:space="preserve"> (1917)</w:t>
                </w:r>
              </w:p>
              <w:p w14:paraId="2E23809C" w14:textId="77777777" w:rsidR="009A72B7" w:rsidRDefault="009A72B7" w:rsidP="000A3F4B">
                <w:pPr>
                  <w:pStyle w:val="NormalfollowingH2"/>
                </w:pPr>
                <w:r w:rsidRPr="000A3F4B">
                  <w:rPr>
                    <w:i/>
                  </w:rPr>
                  <w:t>The Story of Dorothy Stanfield</w:t>
                </w:r>
                <w:r>
                  <w:t xml:space="preserve"> (1946)</w:t>
                </w:r>
              </w:p>
              <w:p w14:paraId="2309A472" w14:textId="77777777" w:rsidR="009A72B7" w:rsidRPr="007D3E11" w:rsidRDefault="009A72B7" w:rsidP="009A72B7"/>
              <w:p w14:paraId="43F67B59" w14:textId="0A7C230A" w:rsidR="009A72B7" w:rsidRPr="007D3E11" w:rsidRDefault="000A3F4B" w:rsidP="009A72B7">
                <w:pPr>
                  <w:pStyle w:val="Heading2"/>
                  <w:outlineLvl w:val="1"/>
                </w:pPr>
                <w:r>
                  <w:t>Films</w:t>
                </w:r>
              </w:p>
              <w:p w14:paraId="61E6E3ED" w14:textId="77777777" w:rsidR="009A72B7" w:rsidRDefault="009A72B7" w:rsidP="000A3F4B">
                <w:pPr>
                  <w:pStyle w:val="NormalfollowingH2"/>
                </w:pPr>
                <w:r w:rsidRPr="000A3F4B">
                  <w:rPr>
                    <w:i/>
                  </w:rPr>
                  <w:t>Within Our Gates</w:t>
                </w:r>
                <w:r>
                  <w:t xml:space="preserve"> (1920)</w:t>
                </w:r>
              </w:p>
              <w:p w14:paraId="71C2F47B" w14:textId="77777777" w:rsidR="009A72B7" w:rsidRDefault="009A72B7" w:rsidP="000A3F4B">
                <w:pPr>
                  <w:pStyle w:val="NormalfollowingH2"/>
                </w:pPr>
                <w:r w:rsidRPr="000A3F4B">
                  <w:rPr>
                    <w:i/>
                  </w:rPr>
                  <w:t xml:space="preserve">The Symbol of the Unconquered </w:t>
                </w:r>
                <w:r>
                  <w:t>(1920)</w:t>
                </w:r>
              </w:p>
              <w:p w14:paraId="5F29F669" w14:textId="77777777" w:rsidR="009A72B7" w:rsidRPr="007D3E11" w:rsidRDefault="009A72B7" w:rsidP="000A3F4B">
                <w:pPr>
                  <w:pStyle w:val="NormalfollowingH2"/>
                </w:pPr>
                <w:r w:rsidRPr="000A3F4B">
                  <w:rPr>
                    <w:i/>
                  </w:rPr>
                  <w:t>Body and Soul</w:t>
                </w:r>
                <w:r>
                  <w:t xml:space="preserve"> (1924)</w:t>
                </w:r>
              </w:p>
              <w:p w14:paraId="65508BF2" w14:textId="3229AFD6" w:rsidR="003F0D73" w:rsidRDefault="009A72B7" w:rsidP="000A3F4B">
                <w:pPr>
                  <w:pStyle w:val="NormalfollowingH2"/>
                </w:pPr>
                <w:r w:rsidRPr="000A3F4B">
                  <w:rPr>
                    <w:i/>
                  </w:rPr>
                  <w:t>The Girl from Chicago</w:t>
                </w:r>
                <w:r>
                  <w:t xml:space="preserve"> (1933)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235A7" w14:paraId="5EDFDA4F" w14:textId="77777777" w:rsidTr="003235A7">
        <w:tc>
          <w:tcPr>
            <w:tcW w:w="9016" w:type="dxa"/>
          </w:tcPr>
          <w:p w14:paraId="03D43F9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256A7DC30638C4CB9043CD4033A33E8"/>
              </w:placeholder>
            </w:sdtPr>
            <w:sdtEndPr/>
            <w:sdtContent>
              <w:p w14:paraId="00990E9B" w14:textId="77777777" w:rsidR="00FF4887" w:rsidRDefault="000A3F4B" w:rsidP="00FF4887">
                <w:sdt>
                  <w:sdtPr>
                    <w:id w:val="1216312282"/>
                    <w:citation/>
                  </w:sdtPr>
                  <w:sdtEndPr/>
                  <w:sdtContent>
                    <w:r w:rsidR="00FF4887">
                      <w:fldChar w:fldCharType="begin"/>
                    </w:r>
                    <w:r w:rsidR="00FF4887">
                      <w:rPr>
                        <w:lang w:val="en-US"/>
                      </w:rPr>
                      <w:instrText xml:space="preserve">CITATION Bow01 \l 1033 </w:instrText>
                    </w:r>
                    <w:r w:rsidR="00FF4887">
                      <w:fldChar w:fldCharType="separate"/>
                    </w:r>
                    <w:r w:rsidR="00FF4887">
                      <w:rPr>
                        <w:noProof/>
                        <w:lang w:val="en-US"/>
                      </w:rPr>
                      <w:t xml:space="preserve"> </w:t>
                    </w:r>
                    <w:r w:rsidR="00FF4887" w:rsidRPr="00FF4887">
                      <w:rPr>
                        <w:noProof/>
                        <w:lang w:val="en-US"/>
                      </w:rPr>
                      <w:t>(Bowser, Gaines and Musser)</w:t>
                    </w:r>
                    <w:r w:rsidR="00FF4887">
                      <w:fldChar w:fldCharType="end"/>
                    </w:r>
                  </w:sdtContent>
                </w:sdt>
              </w:p>
              <w:p w14:paraId="0AD1F600" w14:textId="77777777" w:rsidR="00FF4887" w:rsidRDefault="00FF4887" w:rsidP="00FF4887"/>
              <w:p w14:paraId="33D71F7D" w14:textId="77777777" w:rsidR="003235A7" w:rsidRDefault="000A3F4B" w:rsidP="00FF4887">
                <w:sdt>
                  <w:sdtPr>
                    <w:id w:val="332115757"/>
                    <w:citation/>
                  </w:sdtPr>
                  <w:sdtEndPr/>
                  <w:sdtContent>
                    <w:r w:rsidR="00FF4887">
                      <w:fldChar w:fldCharType="begin"/>
                    </w:r>
                    <w:r w:rsidR="00FF4887">
                      <w:rPr>
                        <w:lang w:val="en-US"/>
                      </w:rPr>
                      <w:instrText xml:space="preserve"> CITATION Gre00 \l 1033 </w:instrText>
                    </w:r>
                    <w:r w:rsidR="00FF4887">
                      <w:fldChar w:fldCharType="separate"/>
                    </w:r>
                    <w:r w:rsidR="00FF4887" w:rsidRPr="00FF4887">
                      <w:rPr>
                        <w:noProof/>
                        <w:lang w:val="en-US"/>
                      </w:rPr>
                      <w:t>(Green)</w:t>
                    </w:r>
                    <w:r w:rsidR="00FF4887">
                      <w:fldChar w:fldCharType="end"/>
                    </w:r>
                  </w:sdtContent>
                </w:sdt>
              </w:p>
            </w:sdtContent>
          </w:sdt>
        </w:tc>
      </w:tr>
    </w:tbl>
    <w:p w14:paraId="4CC6ED5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0D5F0F" w14:textId="77777777" w:rsidR="00FF4887" w:rsidRDefault="00FF4887" w:rsidP="007A0D55">
      <w:pPr>
        <w:spacing w:after="0" w:line="240" w:lineRule="auto"/>
      </w:pPr>
      <w:r>
        <w:separator/>
      </w:r>
    </w:p>
  </w:endnote>
  <w:endnote w:type="continuationSeparator" w:id="0">
    <w:p w14:paraId="45F8140A" w14:textId="77777777" w:rsidR="00FF4887" w:rsidRDefault="00FF488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8CF715" w14:textId="77777777" w:rsidR="00FF4887" w:rsidRDefault="00FF4887" w:rsidP="007A0D55">
      <w:pPr>
        <w:spacing w:after="0" w:line="240" w:lineRule="auto"/>
      </w:pPr>
      <w:r>
        <w:separator/>
      </w:r>
    </w:p>
  </w:footnote>
  <w:footnote w:type="continuationSeparator" w:id="0">
    <w:p w14:paraId="4C3988A6" w14:textId="77777777" w:rsidR="00FF4887" w:rsidRDefault="00FF488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8D59DC" w14:textId="77777777" w:rsidR="00FF4887" w:rsidRDefault="00FF4887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9BD0A97" w14:textId="77777777" w:rsidR="00FF4887" w:rsidRDefault="00FF488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3E8"/>
    <w:rsid w:val="00032559"/>
    <w:rsid w:val="00052040"/>
    <w:rsid w:val="000A3F4B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4C5F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A72B7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843E8"/>
    <w:rsid w:val="00FA1925"/>
    <w:rsid w:val="00FB11DE"/>
    <w:rsid w:val="00FB589A"/>
    <w:rsid w:val="00FB7317"/>
    <w:rsid w:val="00FF488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FD16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843E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3E8"/>
    <w:rPr>
      <w:rFonts w:ascii="Lucida Grande" w:hAnsi="Lucida Grande" w:cs="Lucida Grande"/>
      <w:sz w:val="18"/>
      <w:szCs w:val="18"/>
    </w:rPr>
  </w:style>
  <w:style w:type="character" w:customStyle="1" w:styleId="il">
    <w:name w:val="il"/>
    <w:basedOn w:val="DefaultParagraphFont"/>
    <w:rsid w:val="00FF4887"/>
  </w:style>
  <w:style w:type="character" w:styleId="Hyperlink">
    <w:name w:val="Hyperlink"/>
    <w:basedOn w:val="DefaultParagraphFont"/>
    <w:uiPriority w:val="99"/>
    <w:unhideWhenUsed/>
    <w:rsid w:val="009A72B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0A3F4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843E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3E8"/>
    <w:rPr>
      <w:rFonts w:ascii="Lucida Grande" w:hAnsi="Lucida Grande" w:cs="Lucida Grande"/>
      <w:sz w:val="18"/>
      <w:szCs w:val="18"/>
    </w:rPr>
  </w:style>
  <w:style w:type="character" w:customStyle="1" w:styleId="il">
    <w:name w:val="il"/>
    <w:basedOn w:val="DefaultParagraphFont"/>
    <w:rsid w:val="00FF4887"/>
  </w:style>
  <w:style w:type="character" w:styleId="Hyperlink">
    <w:name w:val="Hyperlink"/>
    <w:basedOn w:val="DefaultParagraphFont"/>
    <w:uiPriority w:val="99"/>
    <w:unhideWhenUsed/>
    <w:rsid w:val="009A72B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0A3F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5AE18A50E94AE45BEC2534CCCBB4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3D8C8-D7D7-DE41-A44D-517FA9558354}"/>
      </w:docPartPr>
      <w:docPartBody>
        <w:p w:rsidR="00EC76D3" w:rsidRDefault="00EC76D3">
          <w:pPr>
            <w:pStyle w:val="F5AE18A50E94AE45BEC2534CCCBB418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194584FF6197940A8F55DA6A9278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631D8-A343-F34C-9624-48BB60E0FBAC}"/>
      </w:docPartPr>
      <w:docPartBody>
        <w:p w:rsidR="00EC76D3" w:rsidRDefault="00EC76D3">
          <w:pPr>
            <w:pStyle w:val="3194584FF6197940A8F55DA6A92782F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96BDCFC9BFE82499461049B99455A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C9EAC-C80A-6740-A788-3E22D5CED10F}"/>
      </w:docPartPr>
      <w:docPartBody>
        <w:p w:rsidR="00EC76D3" w:rsidRDefault="00EC76D3">
          <w:pPr>
            <w:pStyle w:val="696BDCFC9BFE82499461049B99455A1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CF25389218D8149AF5B0DDE796DA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95FFE-2BC5-4248-A3ED-DB265A3B25A4}"/>
      </w:docPartPr>
      <w:docPartBody>
        <w:p w:rsidR="00EC76D3" w:rsidRDefault="00EC76D3">
          <w:pPr>
            <w:pStyle w:val="7CF25389218D8149AF5B0DDE796DA94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5DD4044EABA264EA2E4986B0CA34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696103-DF30-8C49-896D-235A1F808619}"/>
      </w:docPartPr>
      <w:docPartBody>
        <w:p w:rsidR="00EC76D3" w:rsidRDefault="00EC76D3">
          <w:pPr>
            <w:pStyle w:val="A5DD4044EABA264EA2E4986B0CA34C1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46CA2A3262C954290D6239072E2E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C345F-72C5-494A-B788-9549E85B7206}"/>
      </w:docPartPr>
      <w:docPartBody>
        <w:p w:rsidR="00EC76D3" w:rsidRDefault="00EC76D3">
          <w:pPr>
            <w:pStyle w:val="046CA2A3262C954290D6239072E2EF4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0FF108D340BA844829899CE99680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EEB2B-4C4A-E846-A961-1BECFB96F6C9}"/>
      </w:docPartPr>
      <w:docPartBody>
        <w:p w:rsidR="00EC76D3" w:rsidRDefault="00EC76D3">
          <w:pPr>
            <w:pStyle w:val="20FF108D340BA844829899CE99680BD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D1D6B7DD29DB34186DFCDED97882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10930-9D9F-1C4D-810D-2E928AC81422}"/>
      </w:docPartPr>
      <w:docPartBody>
        <w:p w:rsidR="00EC76D3" w:rsidRDefault="00EC76D3">
          <w:pPr>
            <w:pStyle w:val="2D1D6B7DD29DB34186DFCDED97882E8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89EC17349B637439DB21A8DCAF22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E5A49-975B-894C-87BE-F5D84730655B}"/>
      </w:docPartPr>
      <w:docPartBody>
        <w:p w:rsidR="00EC76D3" w:rsidRDefault="00EC76D3">
          <w:pPr>
            <w:pStyle w:val="389EC17349B637439DB21A8DCAF2276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71E900087057647BDE444D5489D1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CE298-D40E-404C-BF25-5333728E875E}"/>
      </w:docPartPr>
      <w:docPartBody>
        <w:p w:rsidR="00EC76D3" w:rsidRDefault="00EC76D3">
          <w:pPr>
            <w:pStyle w:val="571E900087057647BDE444D5489D126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256A7DC30638C4CB9043CD4033A3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67CB7-0967-944C-8400-730BB25536E0}"/>
      </w:docPartPr>
      <w:docPartBody>
        <w:p w:rsidR="00EC76D3" w:rsidRDefault="00EC76D3">
          <w:pPr>
            <w:pStyle w:val="9256A7DC30638C4CB9043CD4033A33E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6D3"/>
    <w:rsid w:val="00EC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5AE18A50E94AE45BEC2534CCCBB4188">
    <w:name w:val="F5AE18A50E94AE45BEC2534CCCBB4188"/>
  </w:style>
  <w:style w:type="paragraph" w:customStyle="1" w:styleId="3194584FF6197940A8F55DA6A92782FF">
    <w:name w:val="3194584FF6197940A8F55DA6A92782FF"/>
  </w:style>
  <w:style w:type="paragraph" w:customStyle="1" w:styleId="696BDCFC9BFE82499461049B99455A12">
    <w:name w:val="696BDCFC9BFE82499461049B99455A12"/>
  </w:style>
  <w:style w:type="paragraph" w:customStyle="1" w:styleId="7CF25389218D8149AF5B0DDE796DA94C">
    <w:name w:val="7CF25389218D8149AF5B0DDE796DA94C"/>
  </w:style>
  <w:style w:type="paragraph" w:customStyle="1" w:styleId="A5DD4044EABA264EA2E4986B0CA34C11">
    <w:name w:val="A5DD4044EABA264EA2E4986B0CA34C11"/>
  </w:style>
  <w:style w:type="paragraph" w:customStyle="1" w:styleId="046CA2A3262C954290D6239072E2EF40">
    <w:name w:val="046CA2A3262C954290D6239072E2EF40"/>
  </w:style>
  <w:style w:type="paragraph" w:customStyle="1" w:styleId="20FF108D340BA844829899CE99680BD2">
    <w:name w:val="20FF108D340BA844829899CE99680BD2"/>
  </w:style>
  <w:style w:type="paragraph" w:customStyle="1" w:styleId="2D1D6B7DD29DB34186DFCDED97882E89">
    <w:name w:val="2D1D6B7DD29DB34186DFCDED97882E89"/>
  </w:style>
  <w:style w:type="paragraph" w:customStyle="1" w:styleId="389EC17349B637439DB21A8DCAF22765">
    <w:name w:val="389EC17349B637439DB21A8DCAF22765"/>
  </w:style>
  <w:style w:type="paragraph" w:customStyle="1" w:styleId="571E900087057647BDE444D5489D126E">
    <w:name w:val="571E900087057647BDE444D5489D126E"/>
  </w:style>
  <w:style w:type="paragraph" w:customStyle="1" w:styleId="9256A7DC30638C4CB9043CD4033A33E8">
    <w:name w:val="9256A7DC30638C4CB9043CD4033A33E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5AE18A50E94AE45BEC2534CCCBB4188">
    <w:name w:val="F5AE18A50E94AE45BEC2534CCCBB4188"/>
  </w:style>
  <w:style w:type="paragraph" w:customStyle="1" w:styleId="3194584FF6197940A8F55DA6A92782FF">
    <w:name w:val="3194584FF6197940A8F55DA6A92782FF"/>
  </w:style>
  <w:style w:type="paragraph" w:customStyle="1" w:styleId="696BDCFC9BFE82499461049B99455A12">
    <w:name w:val="696BDCFC9BFE82499461049B99455A12"/>
  </w:style>
  <w:style w:type="paragraph" w:customStyle="1" w:styleId="7CF25389218D8149AF5B0DDE796DA94C">
    <w:name w:val="7CF25389218D8149AF5B0DDE796DA94C"/>
  </w:style>
  <w:style w:type="paragraph" w:customStyle="1" w:styleId="A5DD4044EABA264EA2E4986B0CA34C11">
    <w:name w:val="A5DD4044EABA264EA2E4986B0CA34C11"/>
  </w:style>
  <w:style w:type="paragraph" w:customStyle="1" w:styleId="046CA2A3262C954290D6239072E2EF40">
    <w:name w:val="046CA2A3262C954290D6239072E2EF40"/>
  </w:style>
  <w:style w:type="paragraph" w:customStyle="1" w:styleId="20FF108D340BA844829899CE99680BD2">
    <w:name w:val="20FF108D340BA844829899CE99680BD2"/>
  </w:style>
  <w:style w:type="paragraph" w:customStyle="1" w:styleId="2D1D6B7DD29DB34186DFCDED97882E89">
    <w:name w:val="2D1D6B7DD29DB34186DFCDED97882E89"/>
  </w:style>
  <w:style w:type="paragraph" w:customStyle="1" w:styleId="389EC17349B637439DB21A8DCAF22765">
    <w:name w:val="389EC17349B637439DB21A8DCAF22765"/>
  </w:style>
  <w:style w:type="paragraph" w:customStyle="1" w:styleId="571E900087057647BDE444D5489D126E">
    <w:name w:val="571E900087057647BDE444D5489D126E"/>
  </w:style>
  <w:style w:type="paragraph" w:customStyle="1" w:styleId="9256A7DC30638C4CB9043CD4033A33E8">
    <w:name w:val="9256A7DC30638C4CB9043CD4033A33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Bow01</b:Tag>
    <b:SourceType>Book</b:SourceType>
    <b:Guid>{41F35CAE-7B98-584E-88FE-212E5ADF0194}</b:Guid>
    <b:Title>Oscar Micheaux and His Circle: African-American Filmmaking and Race Cinema of the Silent Era</b:Title>
    <b:City>Bloomington</b:City>
    <b:Publisher>Indiana University Press</b:Publisher>
    <b:Year>2001</b:Year>
    <b:Author>
      <b:Editor>
        <b:NameList>
          <b:Person>
            <b:Last>Bowser</b:Last>
            <b:First>Pearl</b:First>
          </b:Person>
          <b:Person>
            <b:Last>Gaines</b:Last>
            <b:First>Jane</b:First>
          </b:Person>
          <b:Person>
            <b:Last>Musser</b:Last>
            <b:First>Charles</b:First>
          </b:Person>
        </b:NameList>
      </b:Editor>
    </b:Author>
    <b:RefOrder>1</b:RefOrder>
  </b:Source>
  <b:Source>
    <b:Tag>Gre00</b:Tag>
    <b:SourceType>Book</b:SourceType>
    <b:Guid>{728C3B18-03B5-0B4F-B4AF-8BD9392BC822}</b:Guid>
    <b:Author>
      <b:Author>
        <b:NameList>
          <b:Person>
            <b:Last>Green</b:Last>
            <b:First>J.</b:First>
            <b:Middle>Ronald</b:Middle>
          </b:Person>
        </b:NameList>
      </b:Author>
    </b:Author>
    <b:Title>Straight Lick: The Cinema of Oscar Micheaux </b:Title>
    <b:City>Bloomington</b:City>
    <b:Publisher>Indiana UP</b:Publisher>
    <b:Year>2000</b:Year>
    <b:RefOrder>2</b:RefOrder>
  </b:Source>
</b:Sources>
</file>

<file path=customXml/itemProps1.xml><?xml version="1.0" encoding="utf-8"?>
<ds:datastoreItem xmlns:ds="http://schemas.openxmlformats.org/officeDocument/2006/customXml" ds:itemID="{7628DFF2-D416-4A48-94D4-A95BC13F1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13</TotalTime>
  <Pages>2</Pages>
  <Words>455</Words>
  <Characters>2595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4</cp:revision>
  <dcterms:created xsi:type="dcterms:W3CDTF">2014-12-12T06:59:00Z</dcterms:created>
  <dcterms:modified xsi:type="dcterms:W3CDTF">2014-12-17T19:44:00Z</dcterms:modified>
</cp:coreProperties>
</file>