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154618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BC5EB9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351D89C546641B1AAF03768C6147A8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2EB83E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4FB7E316EF5467380E0A666688C10FA"/>
            </w:placeholder>
            <w:text/>
          </w:sdtPr>
          <w:sdtEndPr/>
          <w:sdtContent>
            <w:tc>
              <w:tcPr>
                <w:tcW w:w="2073" w:type="dxa"/>
              </w:tcPr>
              <w:p w14:paraId="1030076B" w14:textId="77777777" w:rsidR="00B574C9" w:rsidRDefault="00E11AF5" w:rsidP="00E11AF5">
                <w:r>
                  <w:t>Annika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C5F80F1D9424C5A91EE039DDB00CBE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D9946D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3EA22576B6F454FA709B6239919CD48"/>
            </w:placeholder>
            <w:text/>
          </w:sdtPr>
          <w:sdtEndPr/>
          <w:sdtContent>
            <w:tc>
              <w:tcPr>
                <w:tcW w:w="2642" w:type="dxa"/>
              </w:tcPr>
              <w:p w14:paraId="1C3ED3E9" w14:textId="77777777" w:rsidR="00B574C9" w:rsidRDefault="00E11AF5" w:rsidP="00E11AF5">
                <w:r>
                  <w:t>Marie</w:t>
                </w:r>
              </w:p>
            </w:tc>
          </w:sdtContent>
        </w:sdt>
      </w:tr>
      <w:tr w:rsidR="00B574C9" w14:paraId="715A8A0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D2DF6E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CEB53094A6648A3B9AB700E57E40C1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76679C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A10328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96F0ED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3B9AA5A4F53498D87AC6C3E43DF1FDA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499C464" w14:textId="77777777" w:rsidR="00B574C9" w:rsidRDefault="00E11AF5" w:rsidP="00E11AF5">
                <w:r>
                  <w:t>Columbia College Chicago</w:t>
                </w:r>
              </w:p>
            </w:tc>
          </w:sdtContent>
        </w:sdt>
      </w:tr>
    </w:tbl>
    <w:p w14:paraId="6A703FB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419B78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F49FA7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67A5FFF" w14:textId="77777777" w:rsidTr="003F0D73">
        <w:sdt>
          <w:sdtPr>
            <w:alias w:val="Article headword"/>
            <w:tag w:val="articleHeadword"/>
            <w:id w:val="-361440020"/>
            <w:placeholder>
              <w:docPart w:val="C4DFBE17E8944BAEA2BECAA64924754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9A1FD2C" w14:textId="77777777" w:rsidR="003F0D73" w:rsidRPr="00FB589A" w:rsidRDefault="00E11AF5" w:rsidP="00E11AF5">
                <w:r w:rsidRPr="00E11AF5">
                  <w:t>Davis, Stuart (1892-1964)</w:t>
                </w:r>
              </w:p>
            </w:tc>
          </w:sdtContent>
        </w:sdt>
      </w:tr>
      <w:tr w:rsidR="00464699" w14:paraId="5C5B2DFF" w14:textId="77777777" w:rsidTr="007821B0">
        <w:sdt>
          <w:sdtPr>
            <w:alias w:val="Variant headwords"/>
            <w:tag w:val="variantHeadwords"/>
            <w:id w:val="173464402"/>
            <w:placeholder>
              <w:docPart w:val="F4A8324C151141E2B0395FF195FF297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FC1796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9FD666B" w14:textId="77777777" w:rsidTr="003F0D73">
        <w:sdt>
          <w:sdtPr>
            <w:alias w:val="Abstract"/>
            <w:tag w:val="abstract"/>
            <w:id w:val="-635871867"/>
            <w:placeholder>
              <w:docPart w:val="F703D1ED914D4179BC7365D5ABE0B86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10077B7" w14:textId="77777777" w:rsidR="00E85A05" w:rsidRDefault="00E11AF5" w:rsidP="00E85A05">
                <w:r w:rsidRPr="0040373F">
                  <w:t xml:space="preserve">Stuart Davis was a painter, printmaker, muralist, and arts activist who played a prominent role in </w:t>
                </w:r>
                <w:r>
                  <w:t>the development of</w:t>
                </w:r>
                <w:r w:rsidRPr="0040373F">
                  <w:t xml:space="preserve"> American modernism </w:t>
                </w:r>
                <w:r>
                  <w:t>in</w:t>
                </w:r>
                <w:r w:rsidRPr="0040373F">
                  <w:t xml:space="preserve"> the first half of the twentieth century. Visually, he brought the formal and technical experimentation of the European avant-garde to depictions of the modernity of the American metropolis. As a prolific writer and powerful spokesman, Davis was a committed cultural advocate, working to explain and defend modern abstract art, promoting artists’ rights</w:t>
                </w:r>
                <w:r>
                  <w:t>, and arguing for the democratis</w:t>
                </w:r>
                <w:r w:rsidRPr="0040373F">
                  <w:t>ation of culture and art’s formative impact on society. Davis’s early style relates to the Ashcan School, an early twentieth century brand of realism that combines a direct, spontaneous, journalistic naturalism with everyday scenes of urban street life. The turning point for the young Davis was the New York Armo</w:t>
                </w:r>
                <w:r w:rsidR="00C6191F">
                  <w:t>u</w:t>
                </w:r>
                <w:r w:rsidRPr="0040373F">
                  <w:t xml:space="preserve">ry Show of 1913. </w:t>
                </w:r>
                <w:r>
                  <w:t>Through the exhibit</w:t>
                </w:r>
                <w:r w:rsidRPr="0040373F">
                  <w:t xml:space="preserve"> Davis was exposed to Fauvism, Expressionism, Cubism,</w:t>
                </w:r>
                <w:r>
                  <w:t xml:space="preserve"> and Dada.</w:t>
                </w:r>
                <w:r w:rsidR="006871C0">
                  <w:t xml:space="preserve"> </w:t>
                </w:r>
                <w:r w:rsidR="006871C0" w:rsidRPr="0040373F">
                  <w:t xml:space="preserve">However, </w:t>
                </w:r>
                <w:r w:rsidR="006871C0">
                  <w:t>Davis’</w:t>
                </w:r>
                <w:r w:rsidR="006871C0" w:rsidRPr="0040373F">
                  <w:t xml:space="preserve"> embrace of the formal rigor of European abstr</w:t>
                </w:r>
                <w:r w:rsidR="006871C0">
                  <w:t>action did not lead him to purely</w:t>
                </w:r>
                <w:r w:rsidR="006871C0" w:rsidRPr="0040373F">
                  <w:t xml:space="preserve"> non-objective painting.</w:t>
                </w:r>
                <w:r w:rsidR="006871C0">
                  <w:t xml:space="preserve"> </w:t>
                </w:r>
                <w:r w:rsidR="006871C0" w:rsidRPr="0040373F">
                  <w:t>Maintaining that form and content were equally important, he argued that European modernism’s visual fragmentation, instability</w:t>
                </w:r>
                <w:r w:rsidR="006871C0">
                  <w:t xml:space="preserve">, and </w:t>
                </w:r>
                <w:r w:rsidR="006871C0" w:rsidRPr="0040373F">
                  <w:t>simultaneity provided the visual means by which to express contemporary American urban life</w:t>
                </w:r>
                <w:r w:rsidR="006871C0">
                  <w:t>.</w:t>
                </w:r>
              </w:p>
            </w:tc>
          </w:sdtContent>
        </w:sdt>
      </w:tr>
      <w:tr w:rsidR="003F0D73" w14:paraId="670EDAA5" w14:textId="77777777" w:rsidTr="003F0D73">
        <w:sdt>
          <w:sdtPr>
            <w:alias w:val="Article text"/>
            <w:tag w:val="articleText"/>
            <w:id w:val="634067588"/>
            <w:placeholder>
              <w:docPart w:val="0B67C521B1FB4860BF22352FC35BAEE4"/>
            </w:placeholder>
          </w:sdtPr>
          <w:sdtEndPr>
            <w:rPr>
              <w:b/>
              <w:bCs/>
              <w:color w:val="5B9BD5" w:themeColor="accent1"/>
              <w:sz w:val="18"/>
              <w:szCs w:val="18"/>
            </w:rPr>
          </w:sdtEndPr>
          <w:sdtContent>
            <w:bookmarkStart w:id="0" w:name="Thumbnail" w:displacedByCustomXml="prev"/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94F06E4" w14:textId="77777777" w:rsidR="00E11AF5" w:rsidRPr="0040373F" w:rsidRDefault="00E11AF5" w:rsidP="00E11AF5">
                <w:r w:rsidRPr="0040373F">
                  <w:t xml:space="preserve">Stuart Davis was a painter, printmaker, muralist, and arts activist who played a prominent role in </w:t>
                </w:r>
                <w:r>
                  <w:t>the development of</w:t>
                </w:r>
                <w:r w:rsidRPr="0040373F">
                  <w:t xml:space="preserve"> American modernism </w:t>
                </w:r>
                <w:r>
                  <w:t>in</w:t>
                </w:r>
                <w:r w:rsidRPr="0040373F">
                  <w:t xml:space="preserve"> the first half of the twentieth century. Visually, he brought the formal and technical experimentation of the European avant-garde to depictions of the modernity of the American metropolis. As a prolific writer and powerful spokesman, Davis was a committed cultural advocate, working to explain and defend modern abstract art, promoting artists’ rights</w:t>
                </w:r>
                <w:r>
                  <w:t>, and arguing for the democratis</w:t>
                </w:r>
                <w:r w:rsidRPr="0040373F">
                  <w:t xml:space="preserve">ation of culture and art’s formative impact on society. Davis’s early style relates to the Ashcan School, an early twentieth century brand of realism that combines a direct, spontaneous, journalistic naturalism with everyday scenes of urban street life. At sixteen years </w:t>
                </w:r>
                <w:r>
                  <w:t>old,</w:t>
                </w:r>
                <w:r w:rsidRPr="0040373F">
                  <w:t xml:space="preserve"> Davis left his native Philadelphia to move to New York City and study art with Robert Henri, one of the </w:t>
                </w:r>
                <w:r>
                  <w:t>best</w:t>
                </w:r>
                <w:r w:rsidRPr="0040373F">
                  <w:t xml:space="preserve"> known Ashcan painters. </w:t>
                </w:r>
                <w:bookmarkStart w:id="1" w:name="Armory_Show"/>
                <w:bookmarkEnd w:id="0"/>
                <w:r w:rsidRPr="0040373F">
                  <w:t>The turning point for the young Davis was the New York Armo</w:t>
                </w:r>
                <w:r w:rsidR="00C6191F">
                  <w:t>u</w:t>
                </w:r>
                <w:r w:rsidRPr="0040373F">
                  <w:t xml:space="preserve">ry Show of 1913. </w:t>
                </w:r>
                <w:r>
                  <w:t>Through the exhibit</w:t>
                </w:r>
                <w:r w:rsidRPr="0040373F">
                  <w:t xml:space="preserve"> Davis was exposed to Fauvism, Expressionism, Cubism,</w:t>
                </w:r>
                <w:r>
                  <w:t xml:space="preserve"> and Dada. The b</w:t>
                </w:r>
                <w:r w:rsidRPr="0040373F">
                  <w:t>oldly aggressive plastic elements</w:t>
                </w:r>
                <w:r>
                  <w:t>, combined</w:t>
                </w:r>
                <w:r w:rsidRPr="0040373F">
                  <w:t xml:space="preserve"> with radical approaches to pictorial space</w:t>
                </w:r>
                <w:r>
                  <w:t>,</w:t>
                </w:r>
                <w:r w:rsidRPr="0040373F">
                  <w:t xml:space="preserve"> left an indelible impression</w:t>
                </w:r>
                <w:r>
                  <w:t xml:space="preserve"> on him</w:t>
                </w:r>
                <w:r w:rsidRPr="0040373F">
                  <w:t xml:space="preserve">. </w:t>
                </w:r>
              </w:p>
              <w:p w14:paraId="37C82196" w14:textId="77777777" w:rsidR="00E11AF5" w:rsidRPr="0040373F" w:rsidRDefault="00E11AF5" w:rsidP="00E11AF5"/>
              <w:p w14:paraId="13BD3948" w14:textId="77777777" w:rsidR="005733B8" w:rsidRDefault="00E11AF5" w:rsidP="00E11AF5">
                <w:r w:rsidRPr="0040373F">
                  <w:t xml:space="preserve">However, </w:t>
                </w:r>
                <w:r>
                  <w:t>Davis’</w:t>
                </w:r>
                <w:r w:rsidRPr="0040373F">
                  <w:t xml:space="preserve"> embrace of the formal rigor of European abstr</w:t>
                </w:r>
                <w:r>
                  <w:t>action did not lead him to purely</w:t>
                </w:r>
                <w:r w:rsidRPr="0040373F">
                  <w:t xml:space="preserve"> non-objective painting. Maintaining that form and content were equally important, he argued that European modernism’s visual fragmentation, instability</w:t>
                </w:r>
                <w:r>
                  <w:t xml:space="preserve">, and </w:t>
                </w:r>
                <w:r w:rsidRPr="0040373F">
                  <w:t xml:space="preserve">simultaneity provided the visual means by which to express contemporary American urban life: the dizzying spatial </w:t>
                </w:r>
                <w:proofErr w:type="spellStart"/>
                <w:r w:rsidRPr="0040373F">
                  <w:t>disjuncture</w:t>
                </w:r>
                <w:r>
                  <w:t>s</w:t>
                </w:r>
                <w:proofErr w:type="spellEnd"/>
                <w:r w:rsidRPr="0040373F">
                  <w:t xml:space="preserve"> an</w:t>
                </w:r>
                <w:r>
                  <w:t>d cacophonies</w:t>
                </w:r>
                <w:r w:rsidRPr="0040373F">
                  <w:t xml:space="preserve"> of industrialization, popular culture, jazz music, skyscrapers, subway trains, </w:t>
                </w:r>
                <w:r w:rsidRPr="0040373F">
                  <w:lastRenderedPageBreak/>
                  <w:t>televised media, outdoor advertising, and product packaging. In repeatedly turning to common, everyday objects for the subject matter of his art</w:t>
                </w:r>
                <w:r w:rsidR="00C6191F">
                  <w:t xml:space="preserve"> — </w:t>
                </w:r>
                <w:r w:rsidRPr="0040373F">
                  <w:t xml:space="preserve">as evidenced in some of his </w:t>
                </w:r>
                <w:proofErr w:type="gramStart"/>
                <w:r w:rsidRPr="0040373F">
                  <w:t>best known</w:t>
                </w:r>
                <w:proofErr w:type="gramEnd"/>
                <w:r w:rsidRPr="0040373F">
                  <w:t xml:space="preserve"> </w:t>
                </w:r>
                <w:r>
                  <w:t>work</w:t>
                </w:r>
                <w:r w:rsidRPr="0040373F">
                  <w:t xml:space="preserve">, such as </w:t>
                </w:r>
                <w:r>
                  <w:t xml:space="preserve">the </w:t>
                </w:r>
                <w:r w:rsidR="00C6191F">
                  <w:t>‘</w:t>
                </w:r>
                <w:r w:rsidRPr="0040373F">
                  <w:t>Tobacco</w:t>
                </w:r>
                <w:r w:rsidR="00C6191F">
                  <w:t>’</w:t>
                </w:r>
                <w:r w:rsidRPr="0040373F">
                  <w:t xml:space="preserve"> and </w:t>
                </w:r>
                <w:r w:rsidR="00C6191F">
                  <w:t>‘</w:t>
                </w:r>
                <w:r>
                  <w:t>E</w:t>
                </w:r>
                <w:r w:rsidR="00C6191F">
                  <w:t xml:space="preserve">ggbeater’ series of the 1920s — </w:t>
                </w:r>
                <w:r w:rsidRPr="0040373F">
                  <w:t>Davis retain</w:t>
                </w:r>
                <w:r>
                  <w:t>ed</w:t>
                </w:r>
                <w:r w:rsidRPr="0040373F">
                  <w:t xml:space="preserve"> the social engagement</w:t>
                </w:r>
                <w:r>
                  <w:t xml:space="preserve"> and realism</w:t>
                </w:r>
                <w:r w:rsidRPr="0040373F">
                  <w:t xml:space="preserve"> of Henri and the Ashcan School. During the Great Depression, Davis </w:t>
                </w:r>
                <w:r>
                  <w:t>was</w:t>
                </w:r>
                <w:r w:rsidRPr="0040373F">
                  <w:t xml:space="preserve"> active in the </w:t>
                </w:r>
                <w:r>
                  <w:t>F</w:t>
                </w:r>
                <w:r w:rsidRPr="0040373F">
                  <w:t xml:space="preserve">ederal </w:t>
                </w:r>
                <w:r>
                  <w:t>A</w:t>
                </w:r>
                <w:r w:rsidRPr="0040373F">
                  <w:t xml:space="preserve">rts </w:t>
                </w:r>
                <w:r>
                  <w:t>Project. He painted</w:t>
                </w:r>
                <w:r w:rsidRPr="0040373F">
                  <w:t xml:space="preserve"> a number of public murals under </w:t>
                </w:r>
                <w:r>
                  <w:t xml:space="preserve">the </w:t>
                </w:r>
                <w:r w:rsidRPr="0040373F">
                  <w:t xml:space="preserve">auspices </w:t>
                </w:r>
                <w:r>
                  <w:t>of the Works Progress Administration and mobilized</w:t>
                </w:r>
                <w:r w:rsidRPr="0040373F">
                  <w:t xml:space="preserve"> artists through </w:t>
                </w:r>
                <w:r>
                  <w:t>the</w:t>
                </w:r>
                <w:r w:rsidRPr="0040373F">
                  <w:t xml:space="preserve"> Artists’ Union </w:t>
                </w:r>
                <w:r>
                  <w:t>(</w:t>
                </w:r>
                <w:r w:rsidRPr="0040373F">
                  <w:t xml:space="preserve">as editor of the union’s publication, </w:t>
                </w:r>
                <w:r w:rsidRPr="0040373F">
                  <w:rPr>
                    <w:i/>
                  </w:rPr>
                  <w:t>Art Front</w:t>
                </w:r>
                <w:r w:rsidRPr="0040373F">
                  <w:t xml:space="preserve">) and the American Artists’ Congress (serving in 1936 as its first National Secretary and in 1938 as National Chairman). </w:t>
                </w:r>
                <w:bookmarkEnd w:id="1"/>
                <w:r w:rsidRPr="0040373F">
                  <w:t xml:space="preserve">Through these organizations, Davis </w:t>
                </w:r>
                <w:r>
                  <w:t>was</w:t>
                </w:r>
                <w:r w:rsidRPr="0040373F">
                  <w:t xml:space="preserve"> immersed in the decade’s heated debates over art and politics. Importantly, Davis’s dual commitments to a modernist visual idiom and to local, popular subject matter allow</w:t>
                </w:r>
                <w:r>
                  <w:t>ed</w:t>
                </w:r>
                <w:r w:rsidRPr="0040373F">
                  <w:t xml:space="preserve"> him to cut through the polarization between apolitical formal abstraction and political social realisms. </w:t>
                </w:r>
                <w:r>
                  <w:t xml:space="preserve">Throughout his career, </w:t>
                </w:r>
                <w:r w:rsidRPr="0040373F">
                  <w:t>Davis maintained the belief in a progressive, socially-engaged modernist art practice.</w:t>
                </w:r>
              </w:p>
              <w:p w14:paraId="5D4B4510" w14:textId="77777777" w:rsidR="005733B8" w:rsidRDefault="005733B8" w:rsidP="00E11AF5"/>
              <w:p w14:paraId="2BA562B6" w14:textId="77777777" w:rsidR="005733B8" w:rsidRDefault="005733B8" w:rsidP="005733B8">
                <w:pPr>
                  <w:keepNext/>
                </w:pPr>
                <w:r>
                  <w:t>File: davis1.jpg</w:t>
                </w:r>
              </w:p>
              <w:p w14:paraId="02C8A92D" w14:textId="77777777" w:rsidR="003F0D73" w:rsidRDefault="005733B8" w:rsidP="00C6191F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Pr="00B73F9D">
                  <w:t>Stuart Davis (American, 1892–1964), Lucky Strike 1921. Medium: Oil on canvas. Dimensions: 33 1/4 x 18</w:t>
                </w:r>
                <w:r w:rsidR="00C6191F">
                  <w:t>’</w:t>
                </w:r>
                <w:r w:rsidRPr="00B73F9D">
                  <w:t xml:space="preserve"> (84.5 x 45.7 cm). Gift of The American Tobacco Company, Inc. MoMA Number: 132.1951. http://www.moma.org/collection/browse_results.php</w:t>
                </w:r>
                <w:proofErr w:type="gramStart"/>
                <w:r w:rsidRPr="00B73F9D">
                  <w:t>?criteria</w:t>
                </w:r>
                <w:proofErr w:type="gramEnd"/>
                <w:r w:rsidRPr="00B73F9D">
                  <w:t>=O%3AAD%</w:t>
                </w:r>
              </w:p>
            </w:tc>
          </w:sdtContent>
        </w:sdt>
      </w:tr>
      <w:tr w:rsidR="003235A7" w14:paraId="4CD1B458" w14:textId="77777777" w:rsidTr="003235A7">
        <w:tc>
          <w:tcPr>
            <w:tcW w:w="9016" w:type="dxa"/>
          </w:tcPr>
          <w:p w14:paraId="3FE6C7BB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D37EB1E230D4267B15B8286C9423FAD"/>
              </w:placeholder>
            </w:sdtPr>
            <w:sdtEndPr/>
            <w:sdtContent>
              <w:p w14:paraId="13892EF9" w14:textId="77777777" w:rsidR="005733B8" w:rsidRDefault="00C6191F" w:rsidP="005733B8">
                <w:sdt>
                  <w:sdtPr>
                    <w:id w:val="244853660"/>
                    <w:citation/>
                  </w:sdtPr>
                  <w:sdtEndPr/>
                  <w:sdtContent>
                    <w:r w:rsidR="005733B8">
                      <w:fldChar w:fldCharType="begin"/>
                    </w:r>
                    <w:r w:rsidR="005733B8">
                      <w:rPr>
                        <w:lang w:val="en-US"/>
                      </w:rPr>
                      <w:instrText xml:space="preserve"> CITATION Chr08 \l 1033 </w:instrText>
                    </w:r>
                    <w:r w:rsidR="005733B8">
                      <w:fldChar w:fldCharType="separate"/>
                    </w:r>
                    <w:r w:rsidR="005733B8">
                      <w:rPr>
                        <w:noProof/>
                        <w:lang w:val="en-US"/>
                      </w:rPr>
                      <w:t>(Christ)</w:t>
                    </w:r>
                    <w:r w:rsidR="005733B8">
                      <w:fldChar w:fldCharType="end"/>
                    </w:r>
                  </w:sdtContent>
                </w:sdt>
              </w:p>
              <w:p w14:paraId="10DBB85D" w14:textId="77777777" w:rsidR="005733B8" w:rsidRDefault="005733B8" w:rsidP="005733B8"/>
              <w:p w14:paraId="583C7A36" w14:textId="77777777" w:rsidR="005733B8" w:rsidRDefault="00C6191F" w:rsidP="005733B8">
                <w:sdt>
                  <w:sdtPr>
                    <w:id w:val="-1768303256"/>
                    <w:citation/>
                  </w:sdtPr>
                  <w:sdtEndPr/>
                  <w:sdtContent>
                    <w:r w:rsidR="005733B8">
                      <w:fldChar w:fldCharType="begin"/>
                    </w:r>
                    <w:r w:rsidR="005733B8">
                      <w:rPr>
                        <w:lang w:val="en-US"/>
                      </w:rPr>
                      <w:instrText xml:space="preserve"> CITATION Dav91 \l 1033 </w:instrText>
                    </w:r>
                    <w:r w:rsidR="005733B8">
                      <w:fldChar w:fldCharType="separate"/>
                    </w:r>
                    <w:r w:rsidR="005733B8">
                      <w:rPr>
                        <w:noProof/>
                        <w:lang w:val="en-US"/>
                      </w:rPr>
                      <w:t>(David)</w:t>
                    </w:r>
                    <w:r w:rsidR="005733B8">
                      <w:fldChar w:fldCharType="end"/>
                    </w:r>
                  </w:sdtContent>
                </w:sdt>
              </w:p>
              <w:p w14:paraId="23294CD3" w14:textId="77777777" w:rsidR="005733B8" w:rsidRDefault="005733B8" w:rsidP="005733B8"/>
              <w:p w14:paraId="02750104" w14:textId="77777777" w:rsidR="005733B8" w:rsidRDefault="00C6191F" w:rsidP="005733B8">
                <w:sdt>
                  <w:sdtPr>
                    <w:id w:val="518748257"/>
                    <w:citation/>
                  </w:sdtPr>
                  <w:sdtEndPr/>
                  <w:sdtContent>
                    <w:r w:rsidR="005733B8">
                      <w:fldChar w:fldCharType="begin"/>
                    </w:r>
                    <w:r w:rsidR="005733B8">
                      <w:rPr>
                        <w:lang w:val="en-US"/>
                      </w:rPr>
                      <w:instrText xml:space="preserve"> CITATION Hil96 \l 1033 </w:instrText>
                    </w:r>
                    <w:r w:rsidR="005733B8">
                      <w:fldChar w:fldCharType="separate"/>
                    </w:r>
                    <w:r w:rsidR="005733B8">
                      <w:rPr>
                        <w:noProof/>
                        <w:lang w:val="en-US"/>
                      </w:rPr>
                      <w:t>(Hills)</w:t>
                    </w:r>
                    <w:r w:rsidR="005733B8">
                      <w:fldChar w:fldCharType="end"/>
                    </w:r>
                  </w:sdtContent>
                </w:sdt>
              </w:p>
              <w:p w14:paraId="5DB49912" w14:textId="77777777" w:rsidR="005733B8" w:rsidRDefault="005733B8" w:rsidP="005733B8"/>
              <w:p w14:paraId="74611E3B" w14:textId="77777777" w:rsidR="003235A7" w:rsidRDefault="00C6191F" w:rsidP="005733B8">
                <w:sdt>
                  <w:sdtPr>
                    <w:id w:val="1703972835"/>
                    <w:citation/>
                  </w:sdtPr>
                  <w:sdtEndPr/>
                  <w:sdtContent>
                    <w:r w:rsidR="005733B8">
                      <w:fldChar w:fldCharType="begin"/>
                    </w:r>
                    <w:r w:rsidR="005733B8">
                      <w:rPr>
                        <w:lang w:val="en-US"/>
                      </w:rPr>
                      <w:instrText xml:space="preserve"> CITATION Lan78 \l 1033 </w:instrText>
                    </w:r>
                    <w:r w:rsidR="005733B8">
                      <w:fldChar w:fldCharType="separate"/>
                    </w:r>
                    <w:r w:rsidR="005733B8">
                      <w:rPr>
                        <w:noProof/>
                        <w:lang w:val="en-US"/>
                      </w:rPr>
                      <w:t>(Lane)</w:t>
                    </w:r>
                    <w:r w:rsidR="005733B8">
                      <w:fldChar w:fldCharType="end"/>
                    </w:r>
                  </w:sdtContent>
                </w:sdt>
              </w:p>
              <w:bookmarkStart w:id="2" w:name="_GoBack" w:displacedByCustomXml="next"/>
              <w:bookmarkEnd w:id="2" w:displacedByCustomXml="next"/>
            </w:sdtContent>
          </w:sdt>
        </w:tc>
      </w:tr>
    </w:tbl>
    <w:p w14:paraId="24007800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6B2CEB" w14:textId="77777777" w:rsidR="004E592C" w:rsidRDefault="004E592C" w:rsidP="007A0D55">
      <w:pPr>
        <w:spacing w:after="0" w:line="240" w:lineRule="auto"/>
      </w:pPr>
      <w:r>
        <w:separator/>
      </w:r>
    </w:p>
  </w:endnote>
  <w:endnote w:type="continuationSeparator" w:id="0">
    <w:p w14:paraId="5EAFEDED" w14:textId="77777777" w:rsidR="004E592C" w:rsidRDefault="004E592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085E48" w14:textId="77777777" w:rsidR="004E592C" w:rsidRDefault="004E592C" w:rsidP="007A0D55">
      <w:pPr>
        <w:spacing w:after="0" w:line="240" w:lineRule="auto"/>
      </w:pPr>
      <w:r>
        <w:separator/>
      </w:r>
    </w:p>
  </w:footnote>
  <w:footnote w:type="continuationSeparator" w:id="0">
    <w:p w14:paraId="5620B438" w14:textId="77777777" w:rsidR="004E592C" w:rsidRDefault="004E592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07B68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83B1A94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3F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4E592C"/>
    <w:rsid w:val="00513EE6"/>
    <w:rsid w:val="00534F8F"/>
    <w:rsid w:val="005733B8"/>
    <w:rsid w:val="00590035"/>
    <w:rsid w:val="005B177E"/>
    <w:rsid w:val="005B3921"/>
    <w:rsid w:val="005F26D7"/>
    <w:rsid w:val="005F5450"/>
    <w:rsid w:val="006871C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191F"/>
    <w:rsid w:val="00C6296B"/>
    <w:rsid w:val="00CC586D"/>
    <w:rsid w:val="00CF1542"/>
    <w:rsid w:val="00CF3EC5"/>
    <w:rsid w:val="00D656DA"/>
    <w:rsid w:val="00D83300"/>
    <w:rsid w:val="00DC6B48"/>
    <w:rsid w:val="00DF01B0"/>
    <w:rsid w:val="00E11AF5"/>
    <w:rsid w:val="00E823F4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5CD9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82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3F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5733B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82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3F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5733B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351D89C546641B1AAF03768C6147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4F907-96AB-49E7-9FB0-EAC0849D7C3A}"/>
      </w:docPartPr>
      <w:docPartBody>
        <w:p w:rsidR="00560D0C" w:rsidRDefault="008856DA">
          <w:pPr>
            <w:pStyle w:val="9351D89C546641B1AAF03768C6147A8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4FB7E316EF5467380E0A666688C1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C2EBF-2CA2-4E0E-B2C2-D9190E2A950C}"/>
      </w:docPartPr>
      <w:docPartBody>
        <w:p w:rsidR="00560D0C" w:rsidRDefault="008856DA">
          <w:pPr>
            <w:pStyle w:val="54FB7E316EF5467380E0A666688C10F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C5F80F1D9424C5A91EE039DDB00C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658DB-92A2-4320-AE07-D3AEEC8BB6A7}"/>
      </w:docPartPr>
      <w:docPartBody>
        <w:p w:rsidR="00560D0C" w:rsidRDefault="008856DA">
          <w:pPr>
            <w:pStyle w:val="2C5F80F1D9424C5A91EE039DDB00CBE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3EA22576B6F454FA709B6239919C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4BC6E-9028-48E1-BE64-83A11F8B7107}"/>
      </w:docPartPr>
      <w:docPartBody>
        <w:p w:rsidR="00560D0C" w:rsidRDefault="008856DA">
          <w:pPr>
            <w:pStyle w:val="13EA22576B6F454FA709B6239919CD4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CEB53094A6648A3B9AB700E57E40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4FE6F-C790-4C9B-A3BD-1F010DA47707}"/>
      </w:docPartPr>
      <w:docPartBody>
        <w:p w:rsidR="00560D0C" w:rsidRDefault="008856DA">
          <w:pPr>
            <w:pStyle w:val="7CEB53094A6648A3B9AB700E57E40C1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3B9AA5A4F53498D87AC6C3E43DF1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A31EF-5F68-4A81-BA32-DDFED599813E}"/>
      </w:docPartPr>
      <w:docPartBody>
        <w:p w:rsidR="00560D0C" w:rsidRDefault="008856DA">
          <w:pPr>
            <w:pStyle w:val="93B9AA5A4F53498D87AC6C3E43DF1FD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4DFBE17E8944BAEA2BECAA649247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2C961-3A3F-48BB-8DF6-EF8370CDC5BE}"/>
      </w:docPartPr>
      <w:docPartBody>
        <w:p w:rsidR="00560D0C" w:rsidRDefault="008856DA">
          <w:pPr>
            <w:pStyle w:val="C4DFBE17E8944BAEA2BECAA64924754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4A8324C151141E2B0395FF195FF2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15B05-9607-4813-981C-A567BC527F61}"/>
      </w:docPartPr>
      <w:docPartBody>
        <w:p w:rsidR="00560D0C" w:rsidRDefault="008856DA">
          <w:pPr>
            <w:pStyle w:val="F4A8324C151141E2B0395FF195FF297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703D1ED914D4179BC7365D5ABE0B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ED22A-A036-4CFA-9812-1521E003D1D6}"/>
      </w:docPartPr>
      <w:docPartBody>
        <w:p w:rsidR="00560D0C" w:rsidRDefault="008856DA">
          <w:pPr>
            <w:pStyle w:val="F703D1ED914D4179BC7365D5ABE0B86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B67C521B1FB4860BF22352FC35BA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F5E50-85C9-42E1-9951-EFD7CB61A680}"/>
      </w:docPartPr>
      <w:docPartBody>
        <w:p w:rsidR="00560D0C" w:rsidRDefault="008856DA">
          <w:pPr>
            <w:pStyle w:val="0B67C521B1FB4860BF22352FC35BAEE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D37EB1E230D4267B15B8286C9423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22E20-8A0B-4EC5-9D01-6FE7F3B02894}"/>
      </w:docPartPr>
      <w:docPartBody>
        <w:p w:rsidR="00560D0C" w:rsidRDefault="008856DA">
          <w:pPr>
            <w:pStyle w:val="5D37EB1E230D4267B15B8286C9423FA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6DA"/>
    <w:rsid w:val="00560D0C"/>
    <w:rsid w:val="0088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351D89C546641B1AAF03768C6147A8C">
    <w:name w:val="9351D89C546641B1AAF03768C6147A8C"/>
  </w:style>
  <w:style w:type="paragraph" w:customStyle="1" w:styleId="54FB7E316EF5467380E0A666688C10FA">
    <w:name w:val="54FB7E316EF5467380E0A666688C10FA"/>
  </w:style>
  <w:style w:type="paragraph" w:customStyle="1" w:styleId="2C5F80F1D9424C5A91EE039DDB00CBED">
    <w:name w:val="2C5F80F1D9424C5A91EE039DDB00CBED"/>
  </w:style>
  <w:style w:type="paragraph" w:customStyle="1" w:styleId="13EA22576B6F454FA709B6239919CD48">
    <w:name w:val="13EA22576B6F454FA709B6239919CD48"/>
  </w:style>
  <w:style w:type="paragraph" w:customStyle="1" w:styleId="7CEB53094A6648A3B9AB700E57E40C1D">
    <w:name w:val="7CEB53094A6648A3B9AB700E57E40C1D"/>
  </w:style>
  <w:style w:type="paragraph" w:customStyle="1" w:styleId="93B9AA5A4F53498D87AC6C3E43DF1FDA">
    <w:name w:val="93B9AA5A4F53498D87AC6C3E43DF1FDA"/>
  </w:style>
  <w:style w:type="paragraph" w:customStyle="1" w:styleId="C4DFBE17E8944BAEA2BECAA649247545">
    <w:name w:val="C4DFBE17E8944BAEA2BECAA649247545"/>
  </w:style>
  <w:style w:type="paragraph" w:customStyle="1" w:styleId="F4A8324C151141E2B0395FF195FF2977">
    <w:name w:val="F4A8324C151141E2B0395FF195FF2977"/>
  </w:style>
  <w:style w:type="paragraph" w:customStyle="1" w:styleId="F703D1ED914D4179BC7365D5ABE0B864">
    <w:name w:val="F703D1ED914D4179BC7365D5ABE0B864"/>
  </w:style>
  <w:style w:type="paragraph" w:customStyle="1" w:styleId="0B67C521B1FB4860BF22352FC35BAEE4">
    <w:name w:val="0B67C521B1FB4860BF22352FC35BAEE4"/>
  </w:style>
  <w:style w:type="paragraph" w:customStyle="1" w:styleId="5D37EB1E230D4267B15B8286C9423FAD">
    <w:name w:val="5D37EB1E230D4267B15B8286C9423FA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351D89C546641B1AAF03768C6147A8C">
    <w:name w:val="9351D89C546641B1AAF03768C6147A8C"/>
  </w:style>
  <w:style w:type="paragraph" w:customStyle="1" w:styleId="54FB7E316EF5467380E0A666688C10FA">
    <w:name w:val="54FB7E316EF5467380E0A666688C10FA"/>
  </w:style>
  <w:style w:type="paragraph" w:customStyle="1" w:styleId="2C5F80F1D9424C5A91EE039DDB00CBED">
    <w:name w:val="2C5F80F1D9424C5A91EE039DDB00CBED"/>
  </w:style>
  <w:style w:type="paragraph" w:customStyle="1" w:styleId="13EA22576B6F454FA709B6239919CD48">
    <w:name w:val="13EA22576B6F454FA709B6239919CD48"/>
  </w:style>
  <w:style w:type="paragraph" w:customStyle="1" w:styleId="7CEB53094A6648A3B9AB700E57E40C1D">
    <w:name w:val="7CEB53094A6648A3B9AB700E57E40C1D"/>
  </w:style>
  <w:style w:type="paragraph" w:customStyle="1" w:styleId="93B9AA5A4F53498D87AC6C3E43DF1FDA">
    <w:name w:val="93B9AA5A4F53498D87AC6C3E43DF1FDA"/>
  </w:style>
  <w:style w:type="paragraph" w:customStyle="1" w:styleId="C4DFBE17E8944BAEA2BECAA649247545">
    <w:name w:val="C4DFBE17E8944BAEA2BECAA649247545"/>
  </w:style>
  <w:style w:type="paragraph" w:customStyle="1" w:styleId="F4A8324C151141E2B0395FF195FF2977">
    <w:name w:val="F4A8324C151141E2B0395FF195FF2977"/>
  </w:style>
  <w:style w:type="paragraph" w:customStyle="1" w:styleId="F703D1ED914D4179BC7365D5ABE0B864">
    <w:name w:val="F703D1ED914D4179BC7365D5ABE0B864"/>
  </w:style>
  <w:style w:type="paragraph" w:customStyle="1" w:styleId="0B67C521B1FB4860BF22352FC35BAEE4">
    <w:name w:val="0B67C521B1FB4860BF22352FC35BAEE4"/>
  </w:style>
  <w:style w:type="paragraph" w:customStyle="1" w:styleId="5D37EB1E230D4267B15B8286C9423FAD">
    <w:name w:val="5D37EB1E230D4267B15B8286C9423F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Chr08</b:Tag>
    <b:SourceType>JournalArticle</b:SourceType>
    <b:Guid>{81AEAB0B-FCD3-42D2-AECF-D01EED41495D}</b:Guid>
    <b:Author>
      <b:Author>
        <b:NameList>
          <b:Person>
            <b:Last>Christ</b:Last>
            <b:First>J.</b:First>
            <b:Middle>X.</b:Middle>
          </b:Person>
        </b:NameList>
      </b:Author>
    </b:Author>
    <b:Title>Stuart Davis and the Politics of Experience</b:Title>
    <b:JournalName>American Art</b:JournalName>
    <b:Year>2008</b:Year>
    <b:Pages>42-63</b:Pages>
    <b:Month>Summer</b:Month>
    <b:Volume>22</b:Volume>
    <b:Issue>2</b:Issue>
    <b:RefOrder>1</b:RefOrder>
  </b:Source>
  <b:Source>
    <b:Tag>Dav91</b:Tag>
    <b:SourceType>JournalArticle</b:SourceType>
    <b:Guid>{6B4A261B-F657-44E0-B309-7538A047A5FB}</b:Guid>
    <b:Author>
      <b:Author>
        <b:NameList>
          <b:Person>
            <b:Last>David</b:Last>
            <b:First>S.</b:First>
          </b:Person>
        </b:NameList>
      </b:Author>
    </b:Author>
    <b:Title>An Interview with Stuart Davis</b:Title>
    <b:JournalName>Archives of American Art Journal</b:JournalName>
    <b:Year>1991</b:Year>
    <b:Pages>4-13</b:Pages>
    <b:Volume>31</b:Volume>
    <b:Issue>2</b:Issue>
    <b:RefOrder>2</b:RefOrder>
  </b:Source>
  <b:Source>
    <b:Tag>Hil96</b:Tag>
    <b:SourceType>Book</b:SourceType>
    <b:Guid>{C1D27027-8692-4D9E-8812-FBFA5E6743DD}</b:Guid>
    <b:Author>
      <b:Author>
        <b:NameList>
          <b:Person>
            <b:Last>Hills</b:Last>
            <b:First>P.</b:First>
          </b:Person>
        </b:NameList>
      </b:Author>
    </b:Author>
    <b:Title>Stuart Davis</b:Title>
    <b:Year>1996</b:Year>
    <b:City>New York</b:City>
    <b:Publisher>Harry N. Abrams</b:Publisher>
    <b:RefOrder>3</b:RefOrder>
  </b:Source>
  <b:Source>
    <b:Tag>Lan78</b:Tag>
    <b:SourceType>Book</b:SourceType>
    <b:Guid>{D495C052-2A8F-4469-861D-0CD967CB75E4}</b:Guid>
    <b:Author>
      <b:Author>
        <b:NameList>
          <b:Person>
            <b:Last>Lane</b:Last>
            <b:First>J.</b:First>
            <b:Middle>R.</b:Middle>
          </b:Person>
        </b:NameList>
      </b:Author>
    </b:Author>
    <b:Title>Stuart Davis: Art and Art Theory</b:Title>
    <b:Year>1978</b:Year>
    <b:City>New York</b:City>
    <b:Publisher>The Brooklyn Museum</b:Publisher>
    <b:RefOrder>4</b:RefOrder>
  </b:Source>
</b:Sources>
</file>

<file path=customXml/itemProps1.xml><?xml version="1.0" encoding="utf-8"?>
<ds:datastoreItem xmlns:ds="http://schemas.openxmlformats.org/officeDocument/2006/customXml" ds:itemID="{8A2F214B-08D0-B048-8C7C-C57A4C442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16</TotalTime>
  <Pages>2</Pages>
  <Words>719</Words>
  <Characters>4102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5</cp:revision>
  <dcterms:created xsi:type="dcterms:W3CDTF">2014-08-19T20:30:00Z</dcterms:created>
  <dcterms:modified xsi:type="dcterms:W3CDTF">2014-09-11T19:48:00Z</dcterms:modified>
</cp:coreProperties>
</file>