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6DD413" w14:textId="77777777" w:rsidTr="00922950">
        <w:tc>
          <w:tcPr>
            <w:tcW w:w="491" w:type="dxa"/>
            <w:vMerge w:val="restart"/>
            <w:shd w:val="clear" w:color="auto" w:fill="A6A6A6" w:themeFill="background1" w:themeFillShade="A6"/>
            <w:textDirection w:val="btLr"/>
          </w:tcPr>
          <w:p w14:paraId="623CCC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20AC4511664759A8381BAACF15C21D"/>
            </w:placeholder>
            <w:showingPlcHdr/>
            <w:dropDownList>
              <w:listItem w:displayText="Dr." w:value="Dr."/>
              <w:listItem w:displayText="Prof." w:value="Prof."/>
            </w:dropDownList>
          </w:sdtPr>
          <w:sdtContent>
            <w:tc>
              <w:tcPr>
                <w:tcW w:w="1259" w:type="dxa"/>
              </w:tcPr>
              <w:p w14:paraId="517AA55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27CA6B12B140C6B9F205F339AC563A"/>
            </w:placeholder>
            <w:text/>
          </w:sdtPr>
          <w:sdtContent>
            <w:tc>
              <w:tcPr>
                <w:tcW w:w="2073" w:type="dxa"/>
              </w:tcPr>
              <w:p w14:paraId="69251813" w14:textId="77777777" w:rsidR="00B574C9" w:rsidRDefault="009137C4" w:rsidP="009137C4">
                <w:r>
                  <w:t>Judy</w:t>
                </w:r>
              </w:p>
            </w:tc>
          </w:sdtContent>
        </w:sdt>
        <w:sdt>
          <w:sdtPr>
            <w:alias w:val="Middle name"/>
            <w:tag w:val="authorMiddleName"/>
            <w:id w:val="-2076034781"/>
            <w:placeholder>
              <w:docPart w:val="28C0798F4E6048F487E89904F3509CBE"/>
            </w:placeholder>
            <w:showingPlcHdr/>
            <w:text/>
          </w:sdtPr>
          <w:sdtContent>
            <w:tc>
              <w:tcPr>
                <w:tcW w:w="2551" w:type="dxa"/>
              </w:tcPr>
              <w:p w14:paraId="4F197036" w14:textId="77777777" w:rsidR="00B574C9" w:rsidRDefault="00B574C9" w:rsidP="00922950">
                <w:r>
                  <w:rPr>
                    <w:rStyle w:val="PlaceholderText"/>
                  </w:rPr>
                  <w:t>[Middle name]</w:t>
                </w:r>
              </w:p>
            </w:tc>
          </w:sdtContent>
        </w:sdt>
        <w:sdt>
          <w:sdtPr>
            <w:alias w:val="Last name"/>
            <w:tag w:val="authorLastName"/>
            <w:id w:val="-1088529830"/>
            <w:placeholder>
              <w:docPart w:val="95FA627400004F40A5EA134843694017"/>
            </w:placeholder>
            <w:text/>
          </w:sdtPr>
          <w:sdtContent>
            <w:tc>
              <w:tcPr>
                <w:tcW w:w="2642" w:type="dxa"/>
              </w:tcPr>
              <w:p w14:paraId="1DF2A342" w14:textId="77777777" w:rsidR="00B574C9" w:rsidRDefault="009137C4" w:rsidP="009137C4">
                <w:proofErr w:type="spellStart"/>
                <w:r>
                  <w:t>Suh</w:t>
                </w:r>
                <w:proofErr w:type="spellEnd"/>
              </w:p>
            </w:tc>
          </w:sdtContent>
        </w:sdt>
      </w:tr>
      <w:tr w:rsidR="00B574C9" w14:paraId="32946E93" w14:textId="77777777" w:rsidTr="001A6A06">
        <w:trPr>
          <w:trHeight w:val="986"/>
        </w:trPr>
        <w:tc>
          <w:tcPr>
            <w:tcW w:w="491" w:type="dxa"/>
            <w:vMerge/>
            <w:shd w:val="clear" w:color="auto" w:fill="A6A6A6" w:themeFill="background1" w:themeFillShade="A6"/>
          </w:tcPr>
          <w:p w14:paraId="106DA01E" w14:textId="77777777" w:rsidR="00B574C9" w:rsidRPr="001A6A06" w:rsidRDefault="00B574C9" w:rsidP="00CF1542">
            <w:pPr>
              <w:jc w:val="center"/>
              <w:rPr>
                <w:b/>
                <w:color w:val="FFFFFF" w:themeColor="background1"/>
              </w:rPr>
            </w:pPr>
          </w:p>
        </w:tc>
        <w:sdt>
          <w:sdtPr>
            <w:alias w:val="Biography"/>
            <w:tag w:val="authorBiography"/>
            <w:id w:val="938807824"/>
            <w:placeholder>
              <w:docPart w:val="86FC195C99174A2F83890626F9045E8B"/>
            </w:placeholder>
            <w:showingPlcHdr/>
          </w:sdtPr>
          <w:sdtContent>
            <w:tc>
              <w:tcPr>
                <w:tcW w:w="8525" w:type="dxa"/>
                <w:gridSpan w:val="4"/>
              </w:tcPr>
              <w:p w14:paraId="58A44FC0" w14:textId="77777777" w:rsidR="00B574C9" w:rsidRDefault="00B574C9" w:rsidP="00922950">
                <w:r>
                  <w:rPr>
                    <w:rStyle w:val="PlaceholderText"/>
                  </w:rPr>
                  <w:t>[Enter your biography]</w:t>
                </w:r>
              </w:p>
            </w:tc>
          </w:sdtContent>
        </w:sdt>
      </w:tr>
      <w:tr w:rsidR="00B574C9" w14:paraId="2108093B" w14:textId="77777777" w:rsidTr="001A6A06">
        <w:trPr>
          <w:trHeight w:val="986"/>
        </w:trPr>
        <w:tc>
          <w:tcPr>
            <w:tcW w:w="491" w:type="dxa"/>
            <w:vMerge/>
            <w:shd w:val="clear" w:color="auto" w:fill="A6A6A6" w:themeFill="background1" w:themeFillShade="A6"/>
          </w:tcPr>
          <w:p w14:paraId="0362DC44" w14:textId="77777777" w:rsidR="00B574C9" w:rsidRPr="001A6A06" w:rsidRDefault="00B574C9" w:rsidP="00CF1542">
            <w:pPr>
              <w:jc w:val="center"/>
              <w:rPr>
                <w:b/>
                <w:color w:val="FFFFFF" w:themeColor="background1"/>
              </w:rPr>
            </w:pPr>
          </w:p>
        </w:tc>
        <w:sdt>
          <w:sdtPr>
            <w:alias w:val="Affiliation"/>
            <w:tag w:val="affiliation"/>
            <w:id w:val="2012937915"/>
            <w:placeholder>
              <w:docPart w:val="E5FC731BCB40411FB4E1A1AFF2B95DA6"/>
            </w:placeholder>
            <w:text/>
          </w:sdtPr>
          <w:sdtContent>
            <w:tc>
              <w:tcPr>
                <w:tcW w:w="8525" w:type="dxa"/>
                <w:gridSpan w:val="4"/>
              </w:tcPr>
              <w:p w14:paraId="02A8CE89" w14:textId="77777777" w:rsidR="00B574C9" w:rsidRDefault="00697B04" w:rsidP="00697B04">
                <w:r>
                  <w:t>Duquesne University</w:t>
                </w:r>
              </w:p>
            </w:tc>
          </w:sdtContent>
        </w:sdt>
      </w:tr>
    </w:tbl>
    <w:p w14:paraId="4C56DD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48BC6F" w14:textId="77777777" w:rsidTr="00244BB0">
        <w:tc>
          <w:tcPr>
            <w:tcW w:w="9016" w:type="dxa"/>
            <w:shd w:val="clear" w:color="auto" w:fill="A6A6A6" w:themeFill="background1" w:themeFillShade="A6"/>
            <w:tcMar>
              <w:top w:w="113" w:type="dxa"/>
              <w:bottom w:w="113" w:type="dxa"/>
            </w:tcMar>
          </w:tcPr>
          <w:p w14:paraId="3B786F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166797" w14:textId="77777777" w:rsidTr="003F0D73">
        <w:sdt>
          <w:sdtPr>
            <w:rPr>
              <w:lang w:val="en-US"/>
            </w:rPr>
            <w:alias w:val="Article headword"/>
            <w:tag w:val="articleHeadword"/>
            <w:id w:val="-361440020"/>
            <w:placeholder>
              <w:docPart w:val="DD5216E3428644ADA0231B973B91B563"/>
            </w:placeholder>
            <w:text/>
          </w:sdtPr>
          <w:sdtContent>
            <w:tc>
              <w:tcPr>
                <w:tcW w:w="9016" w:type="dxa"/>
                <w:tcMar>
                  <w:top w:w="113" w:type="dxa"/>
                  <w:bottom w:w="113" w:type="dxa"/>
                </w:tcMar>
              </w:tcPr>
              <w:p w14:paraId="7F71B414" w14:textId="77777777" w:rsidR="003F0D73" w:rsidRPr="00FB589A" w:rsidRDefault="009137C4" w:rsidP="009137C4">
                <w:r w:rsidRPr="009137C4">
                  <w:rPr>
                    <w:lang w:val="en-US"/>
                  </w:rPr>
                  <w:t>Warner, Sylvia Townsend (1893-1978)</w:t>
                </w:r>
              </w:p>
            </w:tc>
          </w:sdtContent>
        </w:sdt>
      </w:tr>
      <w:tr w:rsidR="00464699" w14:paraId="3686BDD2" w14:textId="77777777" w:rsidTr="00C063E9">
        <w:sdt>
          <w:sdtPr>
            <w:alias w:val="Variant headwords"/>
            <w:tag w:val="variantHeadwords"/>
            <w:id w:val="173464402"/>
            <w:placeholder>
              <w:docPart w:val="2FAFF67E23F148BB9537D9D44728DB61"/>
            </w:placeholder>
            <w:showingPlcHdr/>
          </w:sdtPr>
          <w:sdtContent>
            <w:tc>
              <w:tcPr>
                <w:tcW w:w="9016" w:type="dxa"/>
                <w:tcMar>
                  <w:top w:w="113" w:type="dxa"/>
                  <w:bottom w:w="113" w:type="dxa"/>
                </w:tcMar>
              </w:tcPr>
              <w:p w14:paraId="1E90DD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6E0D46" w14:textId="77777777" w:rsidTr="003F0D73">
        <w:sdt>
          <w:sdtPr>
            <w:alias w:val="Abstract"/>
            <w:tag w:val="abstract"/>
            <w:id w:val="-635871867"/>
            <w:placeholder>
              <w:docPart w:val="A4F50D3857EA465F8006473823B9CDA4"/>
            </w:placeholder>
          </w:sdtPr>
          <w:sdtContent>
            <w:tc>
              <w:tcPr>
                <w:tcW w:w="9016" w:type="dxa"/>
                <w:tcMar>
                  <w:top w:w="113" w:type="dxa"/>
                  <w:bottom w:w="113" w:type="dxa"/>
                </w:tcMar>
              </w:tcPr>
              <w:p w14:paraId="6A2CFBE0" w14:textId="77777777" w:rsidR="00110121" w:rsidRDefault="009137C4" w:rsidP="009137C4">
                <w:r>
                  <w:t xml:space="preserve">Sylvia Townsend Warner was the author of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Marxist, and anti-fascist narrative, particularly in her novels of the 1920s and 1930s.  </w:t>
                </w:r>
              </w:p>
              <w:p w14:paraId="5AC7B15E" w14:textId="77777777" w:rsidR="00110121" w:rsidRDefault="00110121" w:rsidP="009137C4"/>
              <w:p w14:paraId="39EC39B1" w14:textId="77777777" w:rsidR="00E85A05" w:rsidRPr="00110121" w:rsidRDefault="00110121" w:rsidP="009137C4">
                <w:pPr>
                  <w:rPr>
                    <w:i/>
                  </w:rPr>
                </w:pPr>
                <w:r>
                  <w:t xml:space="preserve">Warner was born and raised in Harrow, Middlesex, England, where her father was schoolmaster at the boys’ public school. She moved to London from 1917 to 1927 to work as a musicologist and editor on the Carnegie UK Trust’s Tudor Church Music Research Project. In 1926, she met her lifelong partner, Valentine </w:t>
                </w:r>
                <w:proofErr w:type="spellStart"/>
                <w:r>
                  <w:t>Ackland</w:t>
                </w:r>
                <w:proofErr w:type="spellEnd"/>
                <w:r>
                  <w:t xml:space="preserve">, a poet and writer in her own right, and in 1930 they moved in with each other in Dorset. Both women were committed leftist activists who joined the Communist Party in 1935. That same year, Warner joined the Executive Committee of the International Association of Writers for the Defence of Culture (IAWDC), and in 1936, she served as Secretary of the Association of Writers for Intellectual Liberty (AWIL); both were anti-fascist organisations. During the war, Warner wrote anti-fascist and Marxist articles for leftist newspapers and magazines, including </w:t>
                </w:r>
                <w:r>
                  <w:rPr>
                    <w:i/>
                  </w:rPr>
                  <w:t>Time and Tide</w:t>
                </w:r>
                <w:r>
                  <w:t xml:space="preserve">, the </w:t>
                </w:r>
                <w:r>
                  <w:rPr>
                    <w:i/>
                  </w:rPr>
                  <w:t>Left Review</w:t>
                </w:r>
                <w:r>
                  <w:t xml:space="preserve">, the </w:t>
                </w:r>
                <w:r>
                  <w:rPr>
                    <w:i/>
                  </w:rPr>
                  <w:t>Daily Worker</w:t>
                </w:r>
                <w:r>
                  <w:t xml:space="preserve">, and </w:t>
                </w:r>
                <w:r>
                  <w:rPr>
                    <w:i/>
                  </w:rPr>
                  <w:t>Our Time</w:t>
                </w:r>
                <w:r w:rsidRPr="00110121">
                  <w:t>.</w:t>
                </w:r>
                <w:r>
                  <w:rPr>
                    <w:i/>
                  </w:rPr>
                  <w:t xml:space="preserve"> </w:t>
                </w:r>
              </w:p>
            </w:tc>
          </w:sdtContent>
        </w:sdt>
      </w:tr>
      <w:tr w:rsidR="003F0D73" w14:paraId="610EA566" w14:textId="77777777" w:rsidTr="003F0D73">
        <w:sdt>
          <w:sdtPr>
            <w:alias w:val="Article text"/>
            <w:tag w:val="articleText"/>
            <w:id w:val="634067588"/>
            <w:placeholder>
              <w:docPart w:val="88AEDF0DB9D8499AAF1C13B65848C592"/>
            </w:placeholder>
          </w:sdtPr>
          <w:sdtContent>
            <w:tc>
              <w:tcPr>
                <w:tcW w:w="9016" w:type="dxa"/>
                <w:tcMar>
                  <w:top w:w="113" w:type="dxa"/>
                  <w:bottom w:w="113" w:type="dxa"/>
                </w:tcMar>
              </w:tcPr>
              <w:p w14:paraId="37000554" w14:textId="77777777" w:rsidR="009137C4" w:rsidRDefault="009137C4" w:rsidP="009137C4">
                <w:r>
                  <w:t>Sylvia Townsend Warner was the author of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Marxist, and anti-fascist narrative, particularly in her novels of the 1920s and 1930s.</w:t>
                </w:r>
              </w:p>
              <w:p w14:paraId="16D94B9F" w14:textId="77777777" w:rsidR="009137C4" w:rsidRDefault="009137C4" w:rsidP="009137C4"/>
              <w:p w14:paraId="2936E004" w14:textId="77777777" w:rsidR="009137C4" w:rsidRDefault="009137C4" w:rsidP="009137C4">
                <w:pPr>
                  <w:keepNext/>
                </w:pPr>
                <w:r>
                  <w:t>File: warner1.jpg</w:t>
                </w:r>
              </w:p>
              <w:p w14:paraId="393CB758" w14:textId="77777777" w:rsidR="009137C4" w:rsidRDefault="009137C4" w:rsidP="009137C4">
                <w:pPr>
                  <w:pStyle w:val="Caption"/>
                </w:pPr>
                <w:fldSimple w:instr=" SEQ Figure \* ARABIC ">
                  <w:r w:rsidR="00276900">
                    <w:rPr>
                      <w:noProof/>
                    </w:rPr>
                    <w:t>1</w:t>
                  </w:r>
                </w:fldSimple>
                <w:r>
                  <w:t xml:space="preserve"> </w:t>
                </w:r>
                <w:r w:rsidRPr="006E11C7">
                  <w:t xml:space="preserve">National Portrait Gallery Photographer: Howard </w:t>
                </w:r>
                <w:proofErr w:type="spellStart"/>
                <w:r w:rsidRPr="006E11C7">
                  <w:t>Coster</w:t>
                </w:r>
                <w:proofErr w:type="spellEnd"/>
                <w:r w:rsidRPr="006E11C7">
                  <w:t>, 1934</w:t>
                </w:r>
              </w:p>
              <w:p w14:paraId="69528627" w14:textId="77777777" w:rsidR="009137C4" w:rsidRDefault="009137C4" w:rsidP="009137C4">
                <w:pPr>
                  <w:rPr>
                    <w:i/>
                  </w:rPr>
                </w:pPr>
                <w:r>
                  <w:t xml:space="preserve">Warner was born and raised in Harrow, Middlesex, England, where her father was schoolmaster at the boys’ public school. She moved to London from 1917 to 1927 to work as a musicologist and editor on the Carnegie UK Trust’s Tudor Church Music Research Project. In 1926, she met her lifelong partner, Valentine </w:t>
                </w:r>
                <w:proofErr w:type="spellStart"/>
                <w:r>
                  <w:t>Ackland</w:t>
                </w:r>
                <w:proofErr w:type="spellEnd"/>
                <w:r>
                  <w:t xml:space="preserve">, a poet and writer in her own right, and in 1930 they moved in with each other in Dorset. Both women were committed leftist activists who joined the Communist Party in 1935. That same year, Warner joined the Executive Committee of the </w:t>
                </w:r>
                <w:r>
                  <w:lastRenderedPageBreak/>
                  <w:t xml:space="preserve">International Association of Writers for the Defence of Culture (IAWDC), and in 1936, she served as Secretary of the Association of Writers </w:t>
                </w:r>
                <w:r w:rsidR="00C063E9">
                  <w:t>for Intellectual Liberty (AWIL);</w:t>
                </w:r>
                <w:r>
                  <w:t xml:space="preserve"> both</w:t>
                </w:r>
                <w:r w:rsidR="00C063E9">
                  <w:t xml:space="preserve"> were anti-fascist organis</w:t>
                </w:r>
                <w:r>
                  <w:t xml:space="preserve">ations. During the war, Warner wrote anti-fascist and Marxist articles for leftist newspapers and magazines, including </w:t>
                </w:r>
                <w:r>
                  <w:rPr>
                    <w:i/>
                  </w:rPr>
                  <w:t>Time and Tide</w:t>
                </w:r>
                <w:r>
                  <w:t xml:space="preserve">, the </w:t>
                </w:r>
                <w:r>
                  <w:rPr>
                    <w:i/>
                  </w:rPr>
                  <w:t>Left Review</w:t>
                </w:r>
                <w:r>
                  <w:t xml:space="preserve">, the </w:t>
                </w:r>
                <w:r>
                  <w:rPr>
                    <w:i/>
                  </w:rPr>
                  <w:t>Daily Worker</w:t>
                </w:r>
                <w:r>
                  <w:t xml:space="preserve">, and </w:t>
                </w:r>
                <w:r>
                  <w:rPr>
                    <w:i/>
                  </w:rPr>
                  <w:t xml:space="preserve">Our Time. </w:t>
                </w:r>
              </w:p>
              <w:p w14:paraId="1DF1888C" w14:textId="77777777" w:rsidR="009137C4" w:rsidRPr="00545F6F" w:rsidRDefault="009137C4" w:rsidP="009137C4">
                <w:pPr>
                  <w:rPr>
                    <w:i/>
                  </w:rPr>
                </w:pPr>
              </w:p>
              <w:p w14:paraId="5610186F" w14:textId="77777777" w:rsidR="009137C4" w:rsidRDefault="009137C4" w:rsidP="009137C4">
                <w:r>
                  <w:rPr>
                    <w:i/>
                  </w:rPr>
                  <w:t xml:space="preserve">Mr. Fortune’s Maggot </w:t>
                </w:r>
                <w:r>
                  <w:t xml:space="preserve">(1927) interrupts the colonial narrative of native conversion as its protagonist, the Reverend Timothy Fortune, travels to the fictional island of </w:t>
                </w:r>
                <w:proofErr w:type="spellStart"/>
                <w:r>
                  <w:t>Fanua</w:t>
                </w:r>
                <w:proofErr w:type="spellEnd"/>
                <w:r>
                  <w:t xml:space="preserve">, only to fail in his mission. His only convert, </w:t>
                </w:r>
                <w:proofErr w:type="spellStart"/>
                <w:r>
                  <w:t>Lueli</w:t>
                </w:r>
                <w:proofErr w:type="spellEnd"/>
                <w:r>
                  <w:t xml:space="preserve">, a beautiful young man, never actually capitulates to Christianity, and inspires an erotic attachment in Fortune. The reverend leaves </w:t>
                </w:r>
                <w:proofErr w:type="spellStart"/>
                <w:r>
                  <w:t>Fanua</w:t>
                </w:r>
                <w:proofErr w:type="spellEnd"/>
                <w:r>
                  <w:t xml:space="preserve"> after three years, disillusioned of his own religious convictions. </w:t>
                </w:r>
                <w:r>
                  <w:rPr>
                    <w:i/>
                  </w:rPr>
                  <w:t xml:space="preserve">Summer Will Show </w:t>
                </w:r>
                <w:r>
                  <w:t xml:space="preserve">(1936) is a historical novel set in rural England and revolutionary Paris in 1848. Again, Warner’s framework is a conventional narrative that is interrupted and ends in intertwined political and erotic liberation. In this case, that framework is a domestic plot that begins with the restoration of marriage and family and ends in revolution. The aristocratic English protagonist, Sophia Willoughby, loses her children to smallpox and travels to Paris to convince her estranged husband to impregnate her again. She falls in love with his mistress, </w:t>
                </w:r>
                <w:proofErr w:type="spellStart"/>
                <w:r>
                  <w:t>Minna</w:t>
                </w:r>
                <w:proofErr w:type="spellEnd"/>
                <w:r>
                  <w:t xml:space="preserve"> </w:t>
                </w:r>
                <w:proofErr w:type="spellStart"/>
                <w:r>
                  <w:t>Lemuel</w:t>
                </w:r>
                <w:proofErr w:type="spellEnd"/>
                <w:r>
                  <w:t xml:space="preserve">, a Jewish socialist and they become revolutionaries together. </w:t>
                </w:r>
              </w:p>
              <w:p w14:paraId="42862F4B" w14:textId="77777777" w:rsidR="009137C4" w:rsidRDefault="009137C4" w:rsidP="009137C4"/>
              <w:p w14:paraId="30D12956" w14:textId="77777777" w:rsidR="009137C4" w:rsidRPr="00CD1F64" w:rsidRDefault="009137C4" w:rsidP="009137C4">
                <w:r>
                  <w:rPr>
                    <w:i/>
                  </w:rPr>
                  <w:t xml:space="preserve">After the Death of Don Juan </w:t>
                </w:r>
                <w:r>
                  <w:t xml:space="preserve">(1939) combines the fable quality of </w:t>
                </w:r>
                <w:r>
                  <w:rPr>
                    <w:i/>
                  </w:rPr>
                  <w:t xml:space="preserve">Mr. Fortune’s Maggot </w:t>
                </w:r>
                <w:r>
                  <w:t xml:space="preserve">with the realistic historical detail of </w:t>
                </w:r>
                <w:r>
                  <w:rPr>
                    <w:i/>
                  </w:rPr>
                  <w:t>Summer Will Show</w:t>
                </w:r>
                <w:r>
                  <w:t xml:space="preserve">. A version of the Don Juan legend set in eighteenth-century rural Spain, this novel exposes the material forces behind the struggle of communism and fascism in Warner’s time. The landowners’ rapacity, embodied by Don Juan, stifles the peasants and keeps them in a condition of dire poverty. Warner had visited Spain twice during the Spanish Civil War, and the setting of Spain lent poignancy to this political allegory. </w:t>
                </w:r>
                <w:r>
                  <w:rPr>
                    <w:i/>
                  </w:rPr>
                  <w:t xml:space="preserve">After the Death of Don Juan </w:t>
                </w:r>
                <w:r>
                  <w:t xml:space="preserve">and Warner’s </w:t>
                </w:r>
                <w:proofErr w:type="spellStart"/>
                <w:r>
                  <w:t>postwar</w:t>
                </w:r>
                <w:proofErr w:type="spellEnd"/>
                <w:r>
                  <w:t xml:space="preserve"> novel, </w:t>
                </w:r>
                <w:r>
                  <w:rPr>
                    <w:i/>
                  </w:rPr>
                  <w:t>The Corner That Held Them</w:t>
                </w:r>
                <w:r>
                  <w:t>, set in a fourteenth-century English convent, are remarkabl</w:t>
                </w:r>
                <w:r w:rsidR="00C063E9">
                  <w:t>e for their ensemble characteris</w:t>
                </w:r>
                <w:r>
                  <w:t xml:space="preserve">ations. In both novels, there are no truly individual protagonists and little plotting; the narrative emphasis is on large-scale historical forces and the relationship between humanity and the material world. </w:t>
                </w:r>
              </w:p>
              <w:p w14:paraId="632BA0F5" w14:textId="77777777" w:rsidR="009137C4" w:rsidRDefault="009137C4" w:rsidP="009137C4"/>
              <w:p w14:paraId="1BCAB33E" w14:textId="77777777" w:rsidR="009137C4" w:rsidRDefault="009137C4" w:rsidP="009137C4">
                <w:r>
                  <w:t xml:space="preserve">Warner’s unique ironic and feminist approach to the pastoral mode is especially apparent in her long narrative poem, </w:t>
                </w:r>
                <w:r>
                  <w:rPr>
                    <w:i/>
                  </w:rPr>
                  <w:t xml:space="preserve">Opus 7 </w:t>
                </w:r>
                <w:r>
                  <w:t xml:space="preserve">(1931), and in her popular first novel, </w:t>
                </w:r>
                <w:r>
                  <w:rPr>
                    <w:i/>
                  </w:rPr>
                  <w:t xml:space="preserve">Lolly </w:t>
                </w:r>
                <w:proofErr w:type="spellStart"/>
                <w:r>
                  <w:rPr>
                    <w:i/>
                  </w:rPr>
                  <w:t>Willowes</w:t>
                </w:r>
                <w:proofErr w:type="spellEnd"/>
                <w:r>
                  <w:rPr>
                    <w:i/>
                  </w:rPr>
                  <w:t xml:space="preserve"> </w:t>
                </w:r>
                <w:r>
                  <w:t xml:space="preserve">(1926), both of which feature single women living in the countryside. In </w:t>
                </w:r>
                <w:r>
                  <w:rPr>
                    <w:i/>
                  </w:rPr>
                  <w:t xml:space="preserve">Lolly </w:t>
                </w:r>
                <w:proofErr w:type="spellStart"/>
                <w:r>
                  <w:rPr>
                    <w:i/>
                  </w:rPr>
                  <w:t>Willowes</w:t>
                </w:r>
                <w:proofErr w:type="spellEnd"/>
                <w:r>
                  <w:t>, the protagonist rejec</w:t>
                </w:r>
                <w:r w:rsidR="00C063E9">
                  <w:t>ts her insignificant, marginalis</w:t>
                </w:r>
                <w:r>
                  <w:t xml:space="preserve">ed life as a maiden aunt who lives with her brother and his family in London. In the rural village of Great Mop, she makes a new life as a witch and eventually makes a contract with the devil to fend off the presence of her nephew. The playful combination of pastoral and supernatural fantasy was a great success for the </w:t>
                </w:r>
                <w:r w:rsidR="00697B04">
                  <w:t>Book-of-the-Month Club in the United States</w:t>
                </w:r>
                <w:r>
                  <w:t>, for which it was the inaugural selection.</w:t>
                </w:r>
              </w:p>
              <w:p w14:paraId="4A4B1C00" w14:textId="77777777" w:rsidR="00FE0002" w:rsidRDefault="00FE0002" w:rsidP="009137C4"/>
              <w:p w14:paraId="3E7E1AF8" w14:textId="77777777" w:rsidR="00FE0002" w:rsidRPr="0041414A" w:rsidRDefault="00FE0002" w:rsidP="00FE0002">
                <w:pPr>
                  <w:keepNext/>
                </w:pPr>
                <w:r>
                  <w:t>File: warner2.jpg</w:t>
                </w:r>
              </w:p>
              <w:p w14:paraId="06DD7650" w14:textId="77777777" w:rsidR="009137C4" w:rsidRDefault="00FE0002" w:rsidP="00FE0002">
                <w:pPr>
                  <w:pStyle w:val="Caption"/>
                </w:pPr>
                <w:fldSimple w:instr=" SEQ Figure \* ARABIC ">
                  <w:r w:rsidR="00276900">
                    <w:rPr>
                      <w:noProof/>
                    </w:rPr>
                    <w:t>2</w:t>
                  </w:r>
                </w:fldSimple>
                <w:r>
                  <w:t xml:space="preserve"> </w:t>
                </w:r>
                <w:r w:rsidRPr="00822062">
                  <w:t>First edition dust cover, archiveexhibits.library.tamu.edu</w:t>
                </w:r>
              </w:p>
              <w:p w14:paraId="791082D9" w14:textId="77777777" w:rsidR="00FE0002" w:rsidRDefault="009137C4" w:rsidP="009137C4">
                <w:r>
                  <w:t xml:space="preserve">Warner wrote over 150 short stories for the </w:t>
                </w:r>
                <w:r>
                  <w:rPr>
                    <w:i/>
                  </w:rPr>
                  <w:t xml:space="preserve">New Yorker </w:t>
                </w:r>
                <w:r>
                  <w:t xml:space="preserve">magazine starting in 1936, and these along with others have comprised many book-length story collections. The wartime collection, </w:t>
                </w:r>
                <w:r w:rsidRPr="00701922">
                  <w:rPr>
                    <w:i/>
                  </w:rPr>
                  <w:t>Garland of Straw</w:t>
                </w:r>
                <w:r w:rsidR="00697B04">
                  <w:t xml:space="preserve"> features stories centr</w:t>
                </w:r>
                <w:r>
                  <w:t xml:space="preserve">ing on refugees, artists, and servants across Europe and North America. </w:t>
                </w:r>
                <w:r w:rsidRPr="00701922">
                  <w:t>Connections between class hierarchy, capital, and war emerge in inconclusive narratives that offer glimpses of casual cruelty and xenophobia, as well as survival strategies</w:t>
                </w:r>
                <w:r>
                  <w:t xml:space="preserve"> of the working class</w:t>
                </w:r>
                <w:r w:rsidRPr="00701922">
                  <w:t>.</w:t>
                </w:r>
                <w:r w:rsidRPr="0041414A">
                  <w:rPr>
                    <w:i/>
                  </w:rPr>
                  <w:t xml:space="preserve"> </w:t>
                </w:r>
                <w:r>
                  <w:t xml:space="preserve">The very different collection, </w:t>
                </w:r>
                <w:r>
                  <w:rPr>
                    <w:i/>
                  </w:rPr>
                  <w:t>The Cat’s Cradle-Book</w:t>
                </w:r>
                <w:r>
                  <w:t>, uses the framing conceit of an ethnographer who</w:t>
                </w:r>
                <w:r w:rsidR="00697B04">
                  <w:t>,</w:t>
                </w:r>
                <w:r>
                  <w:t xml:space="preserve"> having learned the language of cats, has collected the stories—many of which are fables and fairy tales—that mother cats tell their kittens.</w:t>
                </w:r>
              </w:p>
              <w:p w14:paraId="0978A9FC" w14:textId="77777777" w:rsidR="00FE0002" w:rsidRDefault="00FE0002" w:rsidP="009137C4"/>
              <w:p w14:paraId="751DD26E" w14:textId="77777777" w:rsidR="00FE0002" w:rsidRDefault="00D86065" w:rsidP="00FE0002">
                <w:pPr>
                  <w:pStyle w:val="Heading1"/>
                  <w:outlineLvl w:val="0"/>
                </w:pPr>
                <w:r>
                  <w:lastRenderedPageBreak/>
                  <w:t>Selected List of Works:</w:t>
                </w:r>
              </w:p>
              <w:p w14:paraId="141EB469" w14:textId="77777777" w:rsidR="00FE0002" w:rsidRPr="008E0FD5" w:rsidRDefault="00FE0002" w:rsidP="00FE0002">
                <w:pPr>
                  <w:pStyle w:val="Heading2"/>
                  <w:outlineLvl w:val="1"/>
                </w:pPr>
                <w:r w:rsidRPr="008E0FD5">
                  <w:t>Poetry</w:t>
                </w:r>
              </w:p>
              <w:p w14:paraId="78FBC9BA" w14:textId="77777777" w:rsidR="00FE0002" w:rsidRPr="00545F6F" w:rsidRDefault="00FE0002" w:rsidP="00FE0002">
                <w:pPr>
                  <w:pStyle w:val="NormalfollowingH2"/>
                </w:pPr>
                <w:r w:rsidRPr="00FE0002">
                  <w:rPr>
                    <w:i/>
                  </w:rPr>
                  <w:t>The Espalier</w:t>
                </w:r>
                <w:r>
                  <w:t xml:space="preserve"> (1925)</w:t>
                </w:r>
              </w:p>
              <w:p w14:paraId="6E76DD81" w14:textId="77777777" w:rsidR="00FE0002" w:rsidRPr="00545F6F" w:rsidRDefault="00FE0002" w:rsidP="00FE0002">
                <w:pPr>
                  <w:pStyle w:val="NormalfollowingH2"/>
                </w:pPr>
                <w:r w:rsidRPr="00FE0002">
                  <w:rPr>
                    <w:i/>
                  </w:rPr>
                  <w:t>Time Importuned</w:t>
                </w:r>
                <w:r>
                  <w:t xml:space="preserve"> (1928)</w:t>
                </w:r>
              </w:p>
              <w:p w14:paraId="611C7E4B" w14:textId="77777777" w:rsidR="00FE0002" w:rsidRPr="00545F6F" w:rsidRDefault="00FE0002" w:rsidP="00FE0002">
                <w:pPr>
                  <w:pStyle w:val="NormalfollowingH2"/>
                </w:pPr>
                <w:r w:rsidRPr="00FE0002">
                  <w:rPr>
                    <w:i/>
                  </w:rPr>
                  <w:t>Opus 7</w:t>
                </w:r>
                <w:r>
                  <w:t xml:space="preserve"> (1931)</w:t>
                </w:r>
              </w:p>
              <w:p w14:paraId="1D25FAC2" w14:textId="77777777" w:rsidR="00FE0002" w:rsidRPr="00545F6F" w:rsidRDefault="00FE0002" w:rsidP="00FE0002">
                <w:pPr>
                  <w:pStyle w:val="NormalfollowingH2"/>
                </w:pPr>
                <w:r w:rsidRPr="00FE0002">
                  <w:rPr>
                    <w:i/>
                  </w:rPr>
                  <w:t>Rainbow</w:t>
                </w:r>
                <w:r>
                  <w:t xml:space="preserve"> (1932)</w:t>
                </w:r>
              </w:p>
              <w:p w14:paraId="5511B373" w14:textId="77777777" w:rsidR="00FE0002" w:rsidRPr="00545101" w:rsidRDefault="00FE0002" w:rsidP="00FE0002">
                <w:pPr>
                  <w:pStyle w:val="NormalfollowingH2"/>
                </w:pPr>
                <w:r w:rsidRPr="00FE0002">
                  <w:rPr>
                    <w:i/>
                  </w:rPr>
                  <w:t>Whether a Dove, or Seagull</w:t>
                </w:r>
                <w:r>
                  <w:t xml:space="preserve"> (with Valentine </w:t>
                </w:r>
                <w:proofErr w:type="spellStart"/>
                <w:r>
                  <w:t>Ackland</w:t>
                </w:r>
                <w:proofErr w:type="spellEnd"/>
                <w:r>
                  <w:t>) (1933)</w:t>
                </w:r>
              </w:p>
              <w:p w14:paraId="231E2DDA" w14:textId="77777777" w:rsidR="00FE0002" w:rsidRPr="00545F6F" w:rsidRDefault="00FE0002" w:rsidP="00FE0002">
                <w:pPr>
                  <w:pStyle w:val="NormalfollowingH2"/>
                </w:pPr>
                <w:r w:rsidRPr="00FE0002">
                  <w:rPr>
                    <w:i/>
                  </w:rPr>
                  <w:t>Boxwood</w:t>
                </w:r>
                <w:r>
                  <w:t xml:space="preserve"> (1960)</w:t>
                </w:r>
              </w:p>
              <w:p w14:paraId="57D1CD53" w14:textId="77777777" w:rsidR="00FE0002" w:rsidRDefault="00FE0002" w:rsidP="00FE0002">
                <w:pPr>
                  <w:pStyle w:val="NormalfollowingH2"/>
                </w:pPr>
                <w:r w:rsidRPr="00FE0002">
                  <w:rPr>
                    <w:i/>
                  </w:rPr>
                  <w:t>Collected Poems, ed. Claire Harman</w:t>
                </w:r>
                <w:r>
                  <w:t xml:space="preserve"> (1983)</w:t>
                </w:r>
              </w:p>
              <w:p w14:paraId="26BECDC8" w14:textId="77777777" w:rsidR="00FE0002" w:rsidRDefault="00FE0002" w:rsidP="00FE0002"/>
              <w:p w14:paraId="00E94954" w14:textId="77777777" w:rsidR="00FE0002" w:rsidRPr="00960BF5" w:rsidRDefault="00FE0002" w:rsidP="00FE0002">
                <w:pPr>
                  <w:pStyle w:val="Heading2"/>
                  <w:outlineLvl w:val="1"/>
                </w:pPr>
                <w:r>
                  <w:t>Novels</w:t>
                </w:r>
              </w:p>
              <w:p w14:paraId="10AEBC90" w14:textId="77777777" w:rsidR="00FE0002" w:rsidRPr="00545F6F" w:rsidRDefault="00FE0002" w:rsidP="00FE0002">
                <w:pPr>
                  <w:pStyle w:val="NormalfollowingH2"/>
                </w:pPr>
                <w:r w:rsidRPr="00FE0002">
                  <w:rPr>
                    <w:i/>
                  </w:rPr>
                  <w:t xml:space="preserve">Lolly </w:t>
                </w:r>
                <w:proofErr w:type="spellStart"/>
                <w:r w:rsidRPr="00FE0002">
                  <w:rPr>
                    <w:i/>
                  </w:rPr>
                  <w:t>Willowes</w:t>
                </w:r>
                <w:proofErr w:type="spellEnd"/>
                <w:r w:rsidRPr="00FE0002">
                  <w:rPr>
                    <w:i/>
                  </w:rPr>
                  <w:t>; or, The Loving Huntsman</w:t>
                </w:r>
                <w:r>
                  <w:t xml:space="preserve"> (1926)</w:t>
                </w:r>
              </w:p>
              <w:p w14:paraId="1A8497C3" w14:textId="77777777" w:rsidR="00FE0002" w:rsidRPr="00545F6F" w:rsidRDefault="00FE0002" w:rsidP="00FE0002">
                <w:pPr>
                  <w:pStyle w:val="NormalfollowingH2"/>
                </w:pPr>
                <w:r w:rsidRPr="00FE0002">
                  <w:rPr>
                    <w:i/>
                  </w:rPr>
                  <w:t>Mr. Fortune’s Maggot</w:t>
                </w:r>
                <w:r>
                  <w:t xml:space="preserve"> (1927)</w:t>
                </w:r>
              </w:p>
              <w:p w14:paraId="6BBEE2B3" w14:textId="77777777" w:rsidR="00FE0002" w:rsidRPr="00545F6F" w:rsidRDefault="00FE0002" w:rsidP="00FE0002">
                <w:pPr>
                  <w:pStyle w:val="NormalfollowingH2"/>
                </w:pPr>
                <w:r w:rsidRPr="00FE0002">
                  <w:rPr>
                    <w:i/>
                  </w:rPr>
                  <w:t>The True Heart</w:t>
                </w:r>
                <w:r>
                  <w:t xml:space="preserve"> (1929)</w:t>
                </w:r>
              </w:p>
              <w:p w14:paraId="150BE0D5" w14:textId="77777777" w:rsidR="00FE0002" w:rsidRPr="00545F6F" w:rsidRDefault="00FE0002" w:rsidP="00FE0002">
                <w:pPr>
                  <w:pStyle w:val="NormalfollowingH2"/>
                </w:pPr>
                <w:r w:rsidRPr="00FE0002">
                  <w:rPr>
                    <w:i/>
                  </w:rPr>
                  <w:t>Summer Will Show</w:t>
                </w:r>
                <w:r>
                  <w:t xml:space="preserve"> (1936)</w:t>
                </w:r>
              </w:p>
              <w:p w14:paraId="03BD078D" w14:textId="77777777" w:rsidR="00FE0002" w:rsidRPr="00545F6F" w:rsidRDefault="00FE0002" w:rsidP="00FE0002">
                <w:pPr>
                  <w:pStyle w:val="NormalfollowingH2"/>
                </w:pPr>
                <w:r w:rsidRPr="00FE0002">
                  <w:rPr>
                    <w:i/>
                  </w:rPr>
                  <w:t>After the Death of Don Juan</w:t>
                </w:r>
                <w:r>
                  <w:t xml:space="preserve"> (1939)</w:t>
                </w:r>
              </w:p>
              <w:p w14:paraId="05D75A3C" w14:textId="77777777" w:rsidR="00FE0002" w:rsidRPr="00545F6F" w:rsidRDefault="00FE0002" w:rsidP="00FE0002">
                <w:pPr>
                  <w:pStyle w:val="NormalfollowingH2"/>
                </w:pPr>
                <w:r w:rsidRPr="00FE0002">
                  <w:rPr>
                    <w:i/>
                  </w:rPr>
                  <w:t>The Corner That Held Them</w:t>
                </w:r>
                <w:r>
                  <w:t xml:space="preserve"> (1948)</w:t>
                </w:r>
              </w:p>
              <w:p w14:paraId="31AD5124" w14:textId="77777777" w:rsidR="003F0D73" w:rsidRDefault="00FE0002" w:rsidP="00FE0002">
                <w:pPr>
                  <w:pStyle w:val="NormalfollowingH2"/>
                </w:pPr>
                <w:r w:rsidRPr="00FE0002">
                  <w:rPr>
                    <w:i/>
                  </w:rPr>
                  <w:t>The Flint Anchor</w:t>
                </w:r>
                <w:r>
                  <w:t xml:space="preserve"> (1954)</w:t>
                </w:r>
              </w:p>
            </w:tc>
          </w:sdtContent>
        </w:sdt>
      </w:tr>
      <w:tr w:rsidR="003235A7" w14:paraId="477611E8" w14:textId="77777777" w:rsidTr="003235A7">
        <w:tc>
          <w:tcPr>
            <w:tcW w:w="9016" w:type="dxa"/>
          </w:tcPr>
          <w:p w14:paraId="09EC13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7C0E912C0B49C1A7F1C78C49EEEF95"/>
              </w:placeholder>
            </w:sdtPr>
            <w:sdtEndPr>
              <w:rPr>
                <w:b/>
                <w:bCs/>
                <w:color w:val="5B9BD5" w:themeColor="accent1"/>
                <w:sz w:val="18"/>
                <w:szCs w:val="18"/>
              </w:rPr>
            </w:sdtEndPr>
            <w:sdtContent>
              <w:bookmarkStart w:id="0" w:name="_GoBack" w:displacedByCustomXml="prev"/>
              <w:bookmarkEnd w:id="0" w:displacedByCustomXml="prev"/>
              <w:p w14:paraId="40AD0AE6" w14:textId="77777777" w:rsidR="00FE0002" w:rsidRDefault="00C063E9" w:rsidP="00FE0002">
                <w:sdt>
                  <w:sdtPr>
                    <w:id w:val="-251741064"/>
                    <w:citation/>
                  </w:sdtPr>
                  <w:sdtContent>
                    <w:r w:rsidR="00FE0002">
                      <w:fldChar w:fldCharType="begin"/>
                    </w:r>
                    <w:r w:rsidR="00FE0002">
                      <w:rPr>
                        <w:lang w:val="en-US"/>
                      </w:rPr>
                      <w:instrText xml:space="preserve"> CITATION Ack852 \l 1033 </w:instrText>
                    </w:r>
                    <w:r w:rsidR="00FE0002">
                      <w:fldChar w:fldCharType="separate"/>
                    </w:r>
                    <w:r w:rsidR="00FE0002">
                      <w:rPr>
                        <w:noProof/>
                        <w:lang w:val="en-US"/>
                      </w:rPr>
                      <w:t>(Ackland)</w:t>
                    </w:r>
                    <w:r w:rsidR="00FE0002">
                      <w:fldChar w:fldCharType="end"/>
                    </w:r>
                  </w:sdtContent>
                </w:sdt>
              </w:p>
              <w:p w14:paraId="4987ED8D" w14:textId="77777777" w:rsidR="00FE0002" w:rsidRDefault="00FE0002" w:rsidP="00FE0002"/>
              <w:p w14:paraId="7EB10572" w14:textId="77777777" w:rsidR="00FE0002" w:rsidRDefault="00C063E9" w:rsidP="00FE0002">
                <w:sdt>
                  <w:sdtPr>
                    <w:id w:val="-713273383"/>
                    <w:citation/>
                  </w:sdtPr>
                  <w:sdtContent>
                    <w:r w:rsidR="00FE0002">
                      <w:fldChar w:fldCharType="begin"/>
                    </w:r>
                    <w:r w:rsidR="00FE0002">
                      <w:rPr>
                        <w:lang w:val="en-US"/>
                      </w:rPr>
                      <w:instrText xml:space="preserve"> CITATION Har89 \l 1033 </w:instrText>
                    </w:r>
                    <w:r w:rsidR="00FE0002">
                      <w:fldChar w:fldCharType="separate"/>
                    </w:r>
                    <w:r w:rsidR="00FE0002">
                      <w:rPr>
                        <w:noProof/>
                        <w:lang w:val="en-US"/>
                      </w:rPr>
                      <w:t>(Harman)</w:t>
                    </w:r>
                    <w:r w:rsidR="00FE0002">
                      <w:fldChar w:fldCharType="end"/>
                    </w:r>
                  </w:sdtContent>
                </w:sdt>
              </w:p>
              <w:p w14:paraId="682AF4B3" w14:textId="77777777" w:rsidR="00FE0002" w:rsidRDefault="00FE0002" w:rsidP="00FE0002"/>
              <w:p w14:paraId="52FA74D5" w14:textId="77777777" w:rsidR="00FE0002" w:rsidRDefault="00C063E9" w:rsidP="00FE0002">
                <w:sdt>
                  <w:sdtPr>
                    <w:id w:val="1409116783"/>
                    <w:citation/>
                  </w:sdtPr>
                  <w:sdtContent>
                    <w:r w:rsidR="00FE0002">
                      <w:fldChar w:fldCharType="begin"/>
                    </w:r>
                    <w:r w:rsidR="00FE0002">
                      <w:rPr>
                        <w:lang w:val="en-US"/>
                      </w:rPr>
                      <w:instrText xml:space="preserve"> CITATION Mul88 \l 1033 </w:instrText>
                    </w:r>
                    <w:r w:rsidR="00FE0002">
                      <w:fldChar w:fldCharType="separate"/>
                    </w:r>
                    <w:r w:rsidR="00FE0002">
                      <w:rPr>
                        <w:noProof/>
                        <w:lang w:val="en-US"/>
                      </w:rPr>
                      <w:t>(Mulford)</w:t>
                    </w:r>
                    <w:r w:rsidR="00FE0002">
                      <w:fldChar w:fldCharType="end"/>
                    </w:r>
                  </w:sdtContent>
                </w:sdt>
              </w:p>
              <w:p w14:paraId="6D60E83E" w14:textId="77777777" w:rsidR="00FE0002" w:rsidRDefault="00FE0002" w:rsidP="00FE0002"/>
              <w:p w14:paraId="39BA7CB3" w14:textId="77777777" w:rsidR="00FE0002" w:rsidRDefault="00FE0002" w:rsidP="00FE0002">
                <w:pPr>
                  <w:keepNext/>
                </w:pPr>
                <w:r>
                  <w:t xml:space="preserve">Link: </w:t>
                </w:r>
                <w:hyperlink r:id="rId9" w:history="1">
                  <w:r w:rsidRPr="00015451">
                    <w:rPr>
                      <w:rStyle w:val="Hyperlink"/>
                    </w:rPr>
                    <w:t>http://www.sylviatownsendwarner.com/</w:t>
                  </w:r>
                </w:hyperlink>
              </w:p>
              <w:p w14:paraId="424EA157" w14:textId="77777777" w:rsidR="00FE0002" w:rsidRDefault="00FE0002" w:rsidP="00FE0002">
                <w:pPr>
                  <w:pStyle w:val="Caption"/>
                </w:pPr>
                <w:fldSimple w:instr=" SEQ Figure \* ARABIC ">
                  <w:r w:rsidR="00276900">
                    <w:rPr>
                      <w:noProof/>
                    </w:rPr>
                    <w:t>3</w:t>
                  </w:r>
                </w:fldSimple>
                <w:r>
                  <w:t xml:space="preserve"> </w:t>
                </w:r>
                <w:r w:rsidRPr="00DA7C4E">
                  <w:rPr>
                    <w:noProof/>
                  </w:rPr>
                  <w:t>The Sylvia Townsend Warner Archive</w:t>
                </w:r>
              </w:p>
              <w:p w14:paraId="5D9056ED" w14:textId="77777777" w:rsidR="00276900" w:rsidRDefault="00FE0002" w:rsidP="00276900">
                <w:pPr>
                  <w:keepNext/>
                </w:pPr>
                <w:r>
                  <w:t xml:space="preserve">Link: </w:t>
                </w:r>
                <w:hyperlink r:id="rId10" w:history="1">
                  <w:r w:rsidR="00276900" w:rsidRPr="00B83F15">
                    <w:rPr>
                      <w:rStyle w:val="Hyperlink"/>
                    </w:rPr>
                    <w:t>http://www.townsendwarner.com/</w:t>
                  </w:r>
                </w:hyperlink>
              </w:p>
              <w:p w14:paraId="28726414" w14:textId="4B7AE5D8" w:rsidR="003235A7" w:rsidRDefault="00276900" w:rsidP="00FD2F82">
                <w:pPr>
                  <w:pStyle w:val="Caption"/>
                </w:pPr>
                <w:fldSimple w:instr=" SEQ Figure \* ARABIC ">
                  <w:r>
                    <w:rPr>
                      <w:noProof/>
                    </w:rPr>
                    <w:t>4</w:t>
                  </w:r>
                </w:fldSimple>
                <w:r>
                  <w:t xml:space="preserve"> </w:t>
                </w:r>
                <w:r w:rsidRPr="00ED2CF4">
                  <w:t>The Sylvia Townsend Warner Society</w:t>
                </w:r>
              </w:p>
            </w:sdtContent>
          </w:sdt>
        </w:tc>
      </w:tr>
    </w:tbl>
    <w:p w14:paraId="1799C56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5B408" w14:textId="77777777" w:rsidR="00697B04" w:rsidRDefault="00697B04" w:rsidP="007A0D55">
      <w:pPr>
        <w:spacing w:after="0" w:line="240" w:lineRule="auto"/>
      </w:pPr>
      <w:r>
        <w:separator/>
      </w:r>
    </w:p>
  </w:endnote>
  <w:endnote w:type="continuationSeparator" w:id="0">
    <w:p w14:paraId="75B100D0" w14:textId="77777777" w:rsidR="00697B04" w:rsidRDefault="00697B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7BFC4" w14:textId="77777777" w:rsidR="00697B04" w:rsidRDefault="00697B04" w:rsidP="007A0D55">
      <w:pPr>
        <w:spacing w:after="0" w:line="240" w:lineRule="auto"/>
      </w:pPr>
      <w:r>
        <w:separator/>
      </w:r>
    </w:p>
  </w:footnote>
  <w:footnote w:type="continuationSeparator" w:id="0">
    <w:p w14:paraId="56C39BCC" w14:textId="77777777" w:rsidR="00697B04" w:rsidRDefault="00697B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3335F" w14:textId="77777777" w:rsidR="00697B04" w:rsidRDefault="00697B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1672B8" w14:textId="77777777" w:rsidR="00697B04" w:rsidRDefault="00697B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33"/>
    <w:rsid w:val="00032559"/>
    <w:rsid w:val="00052040"/>
    <w:rsid w:val="000B25AE"/>
    <w:rsid w:val="000B55AB"/>
    <w:rsid w:val="000D24DC"/>
    <w:rsid w:val="00101B2E"/>
    <w:rsid w:val="00110121"/>
    <w:rsid w:val="00116FA0"/>
    <w:rsid w:val="0015114C"/>
    <w:rsid w:val="001A21F3"/>
    <w:rsid w:val="001A2537"/>
    <w:rsid w:val="001A6A06"/>
    <w:rsid w:val="00210C03"/>
    <w:rsid w:val="002162E2"/>
    <w:rsid w:val="00225C5A"/>
    <w:rsid w:val="00230B10"/>
    <w:rsid w:val="00234353"/>
    <w:rsid w:val="00244BB0"/>
    <w:rsid w:val="0027690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B04"/>
    <w:rsid w:val="006B5612"/>
    <w:rsid w:val="006D0412"/>
    <w:rsid w:val="007411B9"/>
    <w:rsid w:val="00780D95"/>
    <w:rsid w:val="00780DC7"/>
    <w:rsid w:val="007A0D55"/>
    <w:rsid w:val="007B3377"/>
    <w:rsid w:val="007E5F44"/>
    <w:rsid w:val="00821DE3"/>
    <w:rsid w:val="00846CE1"/>
    <w:rsid w:val="008A5B87"/>
    <w:rsid w:val="009137C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3E9"/>
    <w:rsid w:val="00C27FAB"/>
    <w:rsid w:val="00C358D4"/>
    <w:rsid w:val="00C6296B"/>
    <w:rsid w:val="00CC2B33"/>
    <w:rsid w:val="00CC586D"/>
    <w:rsid w:val="00CF1542"/>
    <w:rsid w:val="00CF3EC5"/>
    <w:rsid w:val="00D656DA"/>
    <w:rsid w:val="00D83300"/>
    <w:rsid w:val="00D8606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F82"/>
    <w:rsid w:val="00FE000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B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33"/>
    <w:rPr>
      <w:rFonts w:ascii="Tahoma" w:hAnsi="Tahoma" w:cs="Tahoma"/>
      <w:sz w:val="16"/>
      <w:szCs w:val="16"/>
    </w:rPr>
  </w:style>
  <w:style w:type="paragraph" w:styleId="Caption">
    <w:name w:val="caption"/>
    <w:basedOn w:val="Normal"/>
    <w:next w:val="Normal"/>
    <w:uiPriority w:val="35"/>
    <w:semiHidden/>
    <w:qFormat/>
    <w:rsid w:val="009137C4"/>
    <w:pPr>
      <w:spacing w:after="200" w:line="240" w:lineRule="auto"/>
    </w:pPr>
    <w:rPr>
      <w:b/>
      <w:bCs/>
      <w:color w:val="5B9BD5" w:themeColor="accent1"/>
      <w:sz w:val="18"/>
      <w:szCs w:val="18"/>
    </w:rPr>
  </w:style>
  <w:style w:type="character" w:styleId="Hyperlink">
    <w:name w:val="Hyperlink"/>
    <w:basedOn w:val="DefaultParagraphFont"/>
    <w:uiPriority w:val="99"/>
    <w:rsid w:val="00FE000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33"/>
    <w:rPr>
      <w:rFonts w:ascii="Tahoma" w:hAnsi="Tahoma" w:cs="Tahoma"/>
      <w:sz w:val="16"/>
      <w:szCs w:val="16"/>
    </w:rPr>
  </w:style>
  <w:style w:type="paragraph" w:styleId="Caption">
    <w:name w:val="caption"/>
    <w:basedOn w:val="Normal"/>
    <w:next w:val="Normal"/>
    <w:uiPriority w:val="35"/>
    <w:semiHidden/>
    <w:qFormat/>
    <w:rsid w:val="009137C4"/>
    <w:pPr>
      <w:spacing w:after="200" w:line="240" w:lineRule="auto"/>
    </w:pPr>
    <w:rPr>
      <w:b/>
      <w:bCs/>
      <w:color w:val="5B9BD5" w:themeColor="accent1"/>
      <w:sz w:val="18"/>
      <w:szCs w:val="18"/>
    </w:rPr>
  </w:style>
  <w:style w:type="character" w:styleId="Hyperlink">
    <w:name w:val="Hyperlink"/>
    <w:basedOn w:val="DefaultParagraphFont"/>
    <w:uiPriority w:val="99"/>
    <w:rsid w:val="00FE0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ylviatownsendwarner.com/" TargetMode="External"/><Relationship Id="rId10" Type="http://schemas.openxmlformats.org/officeDocument/2006/relationships/hyperlink" Target="http://www.townsendwarn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20AC4511664759A8381BAACF15C21D"/>
        <w:category>
          <w:name w:val="General"/>
          <w:gallery w:val="placeholder"/>
        </w:category>
        <w:types>
          <w:type w:val="bbPlcHdr"/>
        </w:types>
        <w:behaviors>
          <w:behavior w:val="content"/>
        </w:behaviors>
        <w:guid w:val="{B0557C28-A514-4209-919D-0A0F53088888}"/>
      </w:docPartPr>
      <w:docPartBody>
        <w:p w:rsidR="00300902" w:rsidRDefault="00285E1F">
          <w:pPr>
            <w:pStyle w:val="6820AC4511664759A8381BAACF15C21D"/>
          </w:pPr>
          <w:r w:rsidRPr="00CC586D">
            <w:rPr>
              <w:rStyle w:val="PlaceholderText"/>
              <w:b/>
              <w:color w:val="FFFFFF" w:themeColor="background1"/>
            </w:rPr>
            <w:t>[Salutation]</w:t>
          </w:r>
        </w:p>
      </w:docPartBody>
    </w:docPart>
    <w:docPart>
      <w:docPartPr>
        <w:name w:val="D827CA6B12B140C6B9F205F339AC563A"/>
        <w:category>
          <w:name w:val="General"/>
          <w:gallery w:val="placeholder"/>
        </w:category>
        <w:types>
          <w:type w:val="bbPlcHdr"/>
        </w:types>
        <w:behaviors>
          <w:behavior w:val="content"/>
        </w:behaviors>
        <w:guid w:val="{FB9A384B-3DCD-439B-BE9B-6B619D89063A}"/>
      </w:docPartPr>
      <w:docPartBody>
        <w:p w:rsidR="00300902" w:rsidRDefault="00285E1F">
          <w:pPr>
            <w:pStyle w:val="D827CA6B12B140C6B9F205F339AC563A"/>
          </w:pPr>
          <w:r>
            <w:rPr>
              <w:rStyle w:val="PlaceholderText"/>
            </w:rPr>
            <w:t>[First name]</w:t>
          </w:r>
        </w:p>
      </w:docPartBody>
    </w:docPart>
    <w:docPart>
      <w:docPartPr>
        <w:name w:val="28C0798F4E6048F487E89904F3509CBE"/>
        <w:category>
          <w:name w:val="General"/>
          <w:gallery w:val="placeholder"/>
        </w:category>
        <w:types>
          <w:type w:val="bbPlcHdr"/>
        </w:types>
        <w:behaviors>
          <w:behavior w:val="content"/>
        </w:behaviors>
        <w:guid w:val="{0F43BE0D-6E78-4B99-BB64-7955493776E5}"/>
      </w:docPartPr>
      <w:docPartBody>
        <w:p w:rsidR="00300902" w:rsidRDefault="00285E1F">
          <w:pPr>
            <w:pStyle w:val="28C0798F4E6048F487E89904F3509CBE"/>
          </w:pPr>
          <w:r>
            <w:rPr>
              <w:rStyle w:val="PlaceholderText"/>
            </w:rPr>
            <w:t>[Middle name]</w:t>
          </w:r>
        </w:p>
      </w:docPartBody>
    </w:docPart>
    <w:docPart>
      <w:docPartPr>
        <w:name w:val="95FA627400004F40A5EA134843694017"/>
        <w:category>
          <w:name w:val="General"/>
          <w:gallery w:val="placeholder"/>
        </w:category>
        <w:types>
          <w:type w:val="bbPlcHdr"/>
        </w:types>
        <w:behaviors>
          <w:behavior w:val="content"/>
        </w:behaviors>
        <w:guid w:val="{11EBBCCE-A43E-42B1-AAEC-22C65CD7C5D6}"/>
      </w:docPartPr>
      <w:docPartBody>
        <w:p w:rsidR="00300902" w:rsidRDefault="00285E1F">
          <w:pPr>
            <w:pStyle w:val="95FA627400004F40A5EA134843694017"/>
          </w:pPr>
          <w:r>
            <w:rPr>
              <w:rStyle w:val="PlaceholderText"/>
            </w:rPr>
            <w:t>[Last name]</w:t>
          </w:r>
        </w:p>
      </w:docPartBody>
    </w:docPart>
    <w:docPart>
      <w:docPartPr>
        <w:name w:val="86FC195C99174A2F83890626F9045E8B"/>
        <w:category>
          <w:name w:val="General"/>
          <w:gallery w:val="placeholder"/>
        </w:category>
        <w:types>
          <w:type w:val="bbPlcHdr"/>
        </w:types>
        <w:behaviors>
          <w:behavior w:val="content"/>
        </w:behaviors>
        <w:guid w:val="{3838C203-0B4D-48A6-858D-0292342B6455}"/>
      </w:docPartPr>
      <w:docPartBody>
        <w:p w:rsidR="00300902" w:rsidRDefault="00285E1F">
          <w:pPr>
            <w:pStyle w:val="86FC195C99174A2F83890626F9045E8B"/>
          </w:pPr>
          <w:r>
            <w:rPr>
              <w:rStyle w:val="PlaceholderText"/>
            </w:rPr>
            <w:t>[Enter your biography]</w:t>
          </w:r>
        </w:p>
      </w:docPartBody>
    </w:docPart>
    <w:docPart>
      <w:docPartPr>
        <w:name w:val="E5FC731BCB40411FB4E1A1AFF2B95DA6"/>
        <w:category>
          <w:name w:val="General"/>
          <w:gallery w:val="placeholder"/>
        </w:category>
        <w:types>
          <w:type w:val="bbPlcHdr"/>
        </w:types>
        <w:behaviors>
          <w:behavior w:val="content"/>
        </w:behaviors>
        <w:guid w:val="{CE66E20F-C840-4A24-AAD1-24DD5A6C1C50}"/>
      </w:docPartPr>
      <w:docPartBody>
        <w:p w:rsidR="00300902" w:rsidRDefault="00285E1F">
          <w:pPr>
            <w:pStyle w:val="E5FC731BCB40411FB4E1A1AFF2B95DA6"/>
          </w:pPr>
          <w:r>
            <w:rPr>
              <w:rStyle w:val="PlaceholderText"/>
            </w:rPr>
            <w:t>[Enter the institution with which you are affiliated]</w:t>
          </w:r>
        </w:p>
      </w:docPartBody>
    </w:docPart>
    <w:docPart>
      <w:docPartPr>
        <w:name w:val="DD5216E3428644ADA0231B973B91B563"/>
        <w:category>
          <w:name w:val="General"/>
          <w:gallery w:val="placeholder"/>
        </w:category>
        <w:types>
          <w:type w:val="bbPlcHdr"/>
        </w:types>
        <w:behaviors>
          <w:behavior w:val="content"/>
        </w:behaviors>
        <w:guid w:val="{0880AAAB-CD55-44CA-96DC-2DF5298CE659}"/>
      </w:docPartPr>
      <w:docPartBody>
        <w:p w:rsidR="00300902" w:rsidRDefault="00285E1F">
          <w:pPr>
            <w:pStyle w:val="DD5216E3428644ADA0231B973B91B563"/>
          </w:pPr>
          <w:r w:rsidRPr="00EF74F7">
            <w:rPr>
              <w:b/>
              <w:color w:val="808080" w:themeColor="background1" w:themeShade="80"/>
            </w:rPr>
            <w:t>[Enter the headword for your article]</w:t>
          </w:r>
        </w:p>
      </w:docPartBody>
    </w:docPart>
    <w:docPart>
      <w:docPartPr>
        <w:name w:val="2FAFF67E23F148BB9537D9D44728DB61"/>
        <w:category>
          <w:name w:val="General"/>
          <w:gallery w:val="placeholder"/>
        </w:category>
        <w:types>
          <w:type w:val="bbPlcHdr"/>
        </w:types>
        <w:behaviors>
          <w:behavior w:val="content"/>
        </w:behaviors>
        <w:guid w:val="{F3B7D078-5AC5-4308-A0F8-FC8006D57A3E}"/>
      </w:docPartPr>
      <w:docPartBody>
        <w:p w:rsidR="00300902" w:rsidRDefault="00285E1F">
          <w:pPr>
            <w:pStyle w:val="2FAFF67E23F148BB9537D9D44728DB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F50D3857EA465F8006473823B9CDA4"/>
        <w:category>
          <w:name w:val="General"/>
          <w:gallery w:val="placeholder"/>
        </w:category>
        <w:types>
          <w:type w:val="bbPlcHdr"/>
        </w:types>
        <w:behaviors>
          <w:behavior w:val="content"/>
        </w:behaviors>
        <w:guid w:val="{4E3A5716-0987-4D7F-8629-B9410D57C673}"/>
      </w:docPartPr>
      <w:docPartBody>
        <w:p w:rsidR="00300902" w:rsidRDefault="00285E1F">
          <w:pPr>
            <w:pStyle w:val="A4F50D3857EA465F8006473823B9CD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AEDF0DB9D8499AAF1C13B65848C592"/>
        <w:category>
          <w:name w:val="General"/>
          <w:gallery w:val="placeholder"/>
        </w:category>
        <w:types>
          <w:type w:val="bbPlcHdr"/>
        </w:types>
        <w:behaviors>
          <w:behavior w:val="content"/>
        </w:behaviors>
        <w:guid w:val="{45795B6C-A33F-4779-8978-31D905E67C59}"/>
      </w:docPartPr>
      <w:docPartBody>
        <w:p w:rsidR="00300902" w:rsidRDefault="00285E1F">
          <w:pPr>
            <w:pStyle w:val="88AEDF0DB9D8499AAF1C13B65848C5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7C0E912C0B49C1A7F1C78C49EEEF95"/>
        <w:category>
          <w:name w:val="General"/>
          <w:gallery w:val="placeholder"/>
        </w:category>
        <w:types>
          <w:type w:val="bbPlcHdr"/>
        </w:types>
        <w:behaviors>
          <w:behavior w:val="content"/>
        </w:behaviors>
        <w:guid w:val="{98EA03AC-E9C3-435A-B771-E66DFED838D7}"/>
      </w:docPartPr>
      <w:docPartBody>
        <w:p w:rsidR="00300902" w:rsidRDefault="00285E1F">
          <w:pPr>
            <w:pStyle w:val="2D7C0E912C0B49C1A7F1C78C49EEE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1F"/>
    <w:rsid w:val="00285E1F"/>
    <w:rsid w:val="00300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0AC4511664759A8381BAACF15C21D">
    <w:name w:val="6820AC4511664759A8381BAACF15C21D"/>
  </w:style>
  <w:style w:type="paragraph" w:customStyle="1" w:styleId="D827CA6B12B140C6B9F205F339AC563A">
    <w:name w:val="D827CA6B12B140C6B9F205F339AC563A"/>
  </w:style>
  <w:style w:type="paragraph" w:customStyle="1" w:styleId="28C0798F4E6048F487E89904F3509CBE">
    <w:name w:val="28C0798F4E6048F487E89904F3509CBE"/>
  </w:style>
  <w:style w:type="paragraph" w:customStyle="1" w:styleId="95FA627400004F40A5EA134843694017">
    <w:name w:val="95FA627400004F40A5EA134843694017"/>
  </w:style>
  <w:style w:type="paragraph" w:customStyle="1" w:styleId="86FC195C99174A2F83890626F9045E8B">
    <w:name w:val="86FC195C99174A2F83890626F9045E8B"/>
  </w:style>
  <w:style w:type="paragraph" w:customStyle="1" w:styleId="E5FC731BCB40411FB4E1A1AFF2B95DA6">
    <w:name w:val="E5FC731BCB40411FB4E1A1AFF2B95DA6"/>
  </w:style>
  <w:style w:type="paragraph" w:customStyle="1" w:styleId="DD5216E3428644ADA0231B973B91B563">
    <w:name w:val="DD5216E3428644ADA0231B973B91B563"/>
  </w:style>
  <w:style w:type="paragraph" w:customStyle="1" w:styleId="2FAFF67E23F148BB9537D9D44728DB61">
    <w:name w:val="2FAFF67E23F148BB9537D9D44728DB61"/>
  </w:style>
  <w:style w:type="paragraph" w:customStyle="1" w:styleId="A4F50D3857EA465F8006473823B9CDA4">
    <w:name w:val="A4F50D3857EA465F8006473823B9CDA4"/>
  </w:style>
  <w:style w:type="paragraph" w:customStyle="1" w:styleId="88AEDF0DB9D8499AAF1C13B65848C592">
    <w:name w:val="88AEDF0DB9D8499AAF1C13B65848C592"/>
  </w:style>
  <w:style w:type="paragraph" w:customStyle="1" w:styleId="2D7C0E912C0B49C1A7F1C78C49EEEF95">
    <w:name w:val="2D7C0E912C0B49C1A7F1C78C49EEE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0AC4511664759A8381BAACF15C21D">
    <w:name w:val="6820AC4511664759A8381BAACF15C21D"/>
  </w:style>
  <w:style w:type="paragraph" w:customStyle="1" w:styleId="D827CA6B12B140C6B9F205F339AC563A">
    <w:name w:val="D827CA6B12B140C6B9F205F339AC563A"/>
  </w:style>
  <w:style w:type="paragraph" w:customStyle="1" w:styleId="28C0798F4E6048F487E89904F3509CBE">
    <w:name w:val="28C0798F4E6048F487E89904F3509CBE"/>
  </w:style>
  <w:style w:type="paragraph" w:customStyle="1" w:styleId="95FA627400004F40A5EA134843694017">
    <w:name w:val="95FA627400004F40A5EA134843694017"/>
  </w:style>
  <w:style w:type="paragraph" w:customStyle="1" w:styleId="86FC195C99174A2F83890626F9045E8B">
    <w:name w:val="86FC195C99174A2F83890626F9045E8B"/>
  </w:style>
  <w:style w:type="paragraph" w:customStyle="1" w:styleId="E5FC731BCB40411FB4E1A1AFF2B95DA6">
    <w:name w:val="E5FC731BCB40411FB4E1A1AFF2B95DA6"/>
  </w:style>
  <w:style w:type="paragraph" w:customStyle="1" w:styleId="DD5216E3428644ADA0231B973B91B563">
    <w:name w:val="DD5216E3428644ADA0231B973B91B563"/>
  </w:style>
  <w:style w:type="paragraph" w:customStyle="1" w:styleId="2FAFF67E23F148BB9537D9D44728DB61">
    <w:name w:val="2FAFF67E23F148BB9537D9D44728DB61"/>
  </w:style>
  <w:style w:type="paragraph" w:customStyle="1" w:styleId="A4F50D3857EA465F8006473823B9CDA4">
    <w:name w:val="A4F50D3857EA465F8006473823B9CDA4"/>
  </w:style>
  <w:style w:type="paragraph" w:customStyle="1" w:styleId="88AEDF0DB9D8499AAF1C13B65848C592">
    <w:name w:val="88AEDF0DB9D8499AAF1C13B65848C592"/>
  </w:style>
  <w:style w:type="paragraph" w:customStyle="1" w:styleId="2D7C0E912C0B49C1A7F1C78C49EEEF95">
    <w:name w:val="2D7C0E912C0B49C1A7F1C78C49EEE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Ack852</b:Tag>
    <b:SourceType>Book</b:SourceType>
    <b:Guid>{1A64693A-980E-4627-968A-D49A2DE2400D}</b:Guid>
    <b:Author>
      <b:Author>
        <b:NameList>
          <b:Person>
            <b:Last>Ackland</b:Last>
            <b:First>Valentine</b:First>
          </b:Person>
        </b:NameList>
      </b:Author>
    </b:Author>
    <b:Title>For Sylvia: An Honest Account</b:Title>
    <b:Year>1985</b:Year>
    <b:City>New York</b:City>
    <b:Publisher>Norton</b:Publisher>
    <b:RefOrder>1</b:RefOrder>
  </b:Source>
  <b:Source>
    <b:Tag>Har89</b:Tag>
    <b:SourceType>Book</b:SourceType>
    <b:Guid>{2C403088-66EE-4EB5-8EC5-96EF6A77DE60}</b:Guid>
    <b:Author>
      <b:Author>
        <b:NameList>
          <b:Person>
            <b:Last>Harman</b:Last>
            <b:First>Claire</b:First>
          </b:Person>
        </b:NameList>
      </b:Author>
    </b:Author>
    <b:Title>Sylvia Townsend Warner: A Biography</b:Title>
    <b:Year>1989</b:Year>
    <b:City>London</b:City>
    <b:Publisher>Chatto &amp; Windus</b:Publisher>
    <b:RefOrder>2</b:RefOrder>
  </b:Source>
  <b:Source>
    <b:Tag>Mul88</b:Tag>
    <b:SourceType>Book</b:SourceType>
    <b:Guid>{123BE012-C8FA-407B-B2E7-DEA94009366A}</b:Guid>
    <b:Author>
      <b:Author>
        <b:NameList>
          <b:Person>
            <b:Last>Mulford</b:Last>
            <b:First>Wendy</b:First>
          </b:Person>
        </b:NameList>
      </b:Author>
    </b:Author>
    <b:Title>This Narrow Place: Sylvia Townsend Warner and Valentine Ackland: Life, Letters and Politics, 1930-1951</b:Title>
    <b:Year>1988</b:Year>
    <b:City>London</b:City>
    <b:Publisher>Pandora</b:Publisher>
    <b:RefOrder>3</b:RefOrder>
  </b:Source>
</b:Sources>
</file>

<file path=customXml/itemProps1.xml><?xml version="1.0" encoding="utf-8"?>
<ds:datastoreItem xmlns:ds="http://schemas.openxmlformats.org/officeDocument/2006/customXml" ds:itemID="{4F831102-E8B3-6549-A207-561E3D93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3</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2014-11-15T03:24:00Z</dcterms:created>
  <dcterms:modified xsi:type="dcterms:W3CDTF">2014-11-22T21:27:00Z</dcterms:modified>
</cp:coreProperties>
</file>