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A95E07" w:rsidP="00A95E07">
                <w:r w:rsidRPr="00A95E07">
                  <w:t>George</w:t>
                </w:r>
              </w:p>
            </w:tc>
          </w:sdtContent>
        </w:sdt>
        <w:sdt>
          <w:sdtPr>
            <w:alias w:val="Middle name"/>
            <w:tag w:val="authorMiddleName"/>
            <w:id w:val="-2076034781"/>
            <w:placeholder>
              <w:docPart w:val="59EF40A0DFDC4AE38922C90B917DAAC5"/>
            </w:placeholder>
            <w:text/>
          </w:sdtPr>
          <w:sdtContent>
            <w:tc>
              <w:tcPr>
                <w:tcW w:w="2551" w:type="dxa"/>
              </w:tcPr>
              <w:p w:rsidR="00B574C9" w:rsidRDefault="00A95E07" w:rsidP="00A95E07">
                <w:proofErr w:type="spellStart"/>
                <w:r w:rsidRPr="00A95E07">
                  <w:t>Micajah</w:t>
                </w:r>
                <w:proofErr w:type="spellEnd"/>
              </w:p>
            </w:tc>
          </w:sdtContent>
        </w:sdt>
        <w:sdt>
          <w:sdtPr>
            <w:alias w:val="Last name"/>
            <w:tag w:val="authorLastName"/>
            <w:id w:val="-1088529830"/>
            <w:placeholder>
              <w:docPart w:val="17F04355D0454FC9A5BA11EEC2FF86DD"/>
            </w:placeholder>
            <w:text/>
          </w:sdtPr>
          <w:sdtContent>
            <w:tc>
              <w:tcPr>
                <w:tcW w:w="2642" w:type="dxa"/>
              </w:tcPr>
              <w:p w:rsidR="00B574C9" w:rsidRDefault="00A95E07" w:rsidP="00A95E07">
                <w:r w:rsidRPr="00A95E07">
                  <w:t>Phillips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A95E07" w:rsidP="00A95E07">
                <w:r w:rsidRPr="00A95E07">
                  <w:t>Centre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A95E07" w:rsidTr="003F0D73">
        <w:tc>
          <w:tcPr>
            <w:tcW w:w="9016" w:type="dxa"/>
            <w:tcMar>
              <w:top w:w="113" w:type="dxa"/>
              <w:bottom w:w="113" w:type="dxa"/>
            </w:tcMar>
          </w:tcPr>
          <w:p w:rsidR="00A95E07" w:rsidRDefault="00A95E07" w:rsidP="00A95E07">
            <w:r w:rsidRPr="006F144A">
              <w:t>The Boer Wars (South Africa, the Netherlands, Great Britain)</w:t>
            </w:r>
          </w:p>
        </w:tc>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rticle text"/>
                <w:tag w:val="articleText"/>
                <w:id w:val="538716218"/>
                <w:placeholder>
                  <w:docPart w:val="6BBD5921E3E144538A934738A6826AAC"/>
                </w:placeholder>
              </w:sdtPr>
              <w:sdtEndPr/>
              <w:sdtContent>
                <w:tc>
                  <w:tcPr>
                    <w:tcW w:w="9016" w:type="dxa"/>
                    <w:tcMar>
                      <w:top w:w="113" w:type="dxa"/>
                      <w:bottom w:w="113" w:type="dxa"/>
                    </w:tcMar>
                  </w:tcPr>
                  <w:p w:rsidR="00E85A05" w:rsidRDefault="00A95E07" w:rsidP="00A95E07">
                    <w:r w:rsidRPr="00EE64CE">
                      <w:t>The British Empire waged two wars in southern Africa at the close of the nineteenth century</w:t>
                    </w:r>
                    <w:r w:rsidRPr="001606F5">
                      <w:t>.</w:t>
                    </w:r>
                    <w:r>
                      <w:t xml:space="preserve"> </w:t>
                    </w:r>
                    <w:r w:rsidRPr="001606F5">
                      <w:t>In the First Boer War (or Transvaal War) of 1880-1, Boer soldiers repelled Britain’s attempt to annex the diamond-rich Transvaal.</w:t>
                    </w:r>
                    <w:r>
                      <w:t xml:space="preserve"> </w:t>
                    </w:r>
                    <w:r w:rsidRPr="001606F5">
                      <w:t>The tense peace that followed was broken by the outbreak of the Second Boer War (or South African War, or Anglo-Boer War) of 1899-1902, the largest and most significant war the British Empire waged between the 1857 Indian Rebellion a</w:t>
                    </w:r>
                    <w:r>
                      <w:t>nd the Great War of 1914-1918.</w:t>
                    </w:r>
                  </w:p>
                </w:tc>
              </w:sdtContent>
            </w:sdt>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95E07" w:rsidRDefault="00A95E07" w:rsidP="00A95E07">
                <w:r w:rsidRPr="00EE64CE">
                  <w:t>The British Empire waged two wars in southern Africa at the close of the nineteenth century</w:t>
                </w:r>
                <w:r w:rsidRPr="001606F5">
                  <w:t>.</w:t>
                </w:r>
                <w:r>
                  <w:t xml:space="preserve"> </w:t>
                </w:r>
                <w:r w:rsidRPr="001606F5">
                  <w:t>In the First Boer War (or Transvaal War) of 1880-1, Boer soldiers repelled Britain’s attempt to annex the diamond-rich Transvaal.</w:t>
                </w:r>
                <w:r>
                  <w:t xml:space="preserve"> </w:t>
                </w:r>
                <w:r w:rsidRPr="001606F5">
                  <w:t>The tense peace that followed was broken by the outbreak of the Second Boer War (or South African War, or Anglo-Boer War) of 1899-1902, the largest and most significant war the British Empire waged between the 1857 Indian Rebellion and the Great War of 1914-1918.</w:t>
                </w:r>
                <w:r>
                  <w:t xml:space="preserve"> </w:t>
                </w:r>
              </w:p>
              <w:p w:rsidR="00A95E07" w:rsidRDefault="00A95E07" w:rsidP="00A95E07"/>
              <w:p w:rsidR="003F0D73" w:rsidRDefault="00A95E07" w:rsidP="00A95E07">
                <w:r w:rsidRPr="001606F5">
                  <w:t>Fighting began when Britain sought to declare sovereignty over the Transvaal and Orange Free State, where huge gold deposits had recently been discovered.</w:t>
                </w:r>
                <w:r>
                  <w:t xml:space="preserve"> </w:t>
                </w:r>
                <w:r w:rsidRPr="001606F5">
                  <w:t>This provoked anti-British sentiment in southern Africa and among Britain’s colonial rivals, inspiring volunteer soldiers from the Netherlands and Germany to fight alongside the ethnically Dutch and German Boers.</w:t>
                </w:r>
                <w:r>
                  <w:t xml:space="preserve"> </w:t>
                </w:r>
                <w:r w:rsidRPr="001606F5">
                  <w:t>In the end, Britain lost millions of pounds and thousands of lives before reaching a peace settlement that would recognize British control over the Boer republics while offering a path to self-government (laying the foundations for both the Union of South Africa in 1910 and that dominion’s white separatist rule).</w:t>
                </w:r>
                <w:r>
                  <w:t xml:space="preserve"> </w:t>
                </w:r>
                <w:r w:rsidRPr="001606F5">
                  <w:t>In England, the war also exacerbated concerns over national degeneration when more than half of recruits failed military fitness exams (owing to the deprived living conditions of the urban poor), raising fresh questions about Britain’s imperial ambitions at the turn of the century.</w:t>
                </w:r>
                <w:r>
                  <w:t xml:space="preserve"> </w:t>
                </w:r>
                <w:r w:rsidRPr="001606F5">
                  <w:t>Though initially a popular war among Britons, the war’s grim aftermath had a deeper impact on modernism.</w:t>
                </w:r>
                <w:r>
                  <w:t xml:space="preserve"> </w:t>
                </w:r>
                <w:r w:rsidRPr="001606F5">
                  <w:t xml:space="preserve">‘Since that period,’ Ford </w:t>
                </w:r>
                <w:proofErr w:type="spellStart"/>
                <w:r w:rsidRPr="001606F5">
                  <w:t>Madox</w:t>
                </w:r>
                <w:proofErr w:type="spellEnd"/>
                <w:r w:rsidRPr="001606F5">
                  <w:t xml:space="preserve"> Ford (né </w:t>
                </w:r>
                <w:proofErr w:type="spellStart"/>
                <w:r w:rsidRPr="001606F5">
                  <w:t>Hueffer</w:t>
                </w:r>
                <w:proofErr w:type="spellEnd"/>
                <w:r w:rsidRPr="001606F5">
                  <w:t>) reflected, ‘the whole tone of England appears to me to have entirely changed’ (171).</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A95E07" w:rsidRPr="001606F5" w:rsidRDefault="00A95E07" w:rsidP="00A95E07">
                <w:pPr>
                  <w:rPr>
                    <w:i/>
                  </w:rPr>
                </w:pPr>
                <w:sdt>
                  <w:sdtPr>
                    <w:id w:val="110869744"/>
                    <w:citation/>
                  </w:sdtPr>
                  <w:sdtContent>
                    <w:r>
                      <w:fldChar w:fldCharType="begin"/>
                    </w:r>
                    <w:r>
                      <w:rPr>
                        <w:lang w:val="en-CA"/>
                      </w:rPr>
                      <w:instrText xml:space="preserve"> CITATION Doyle00 \l 4105 </w:instrText>
                    </w:r>
                    <w:r>
                      <w:fldChar w:fldCharType="separate"/>
                    </w:r>
                    <w:r>
                      <w:rPr>
                        <w:noProof/>
                        <w:lang w:val="en-CA"/>
                      </w:rPr>
                      <w:t xml:space="preserve"> </w:t>
                    </w:r>
                    <w:r w:rsidRPr="00A95E07">
                      <w:rPr>
                        <w:noProof/>
                        <w:lang w:val="en-CA"/>
                      </w:rPr>
                      <w:t>(Doyle)</w:t>
                    </w:r>
                    <w:r>
                      <w:fldChar w:fldCharType="end"/>
                    </w:r>
                  </w:sdtContent>
                </w:sdt>
              </w:p>
              <w:p w:rsidR="00A95E07" w:rsidRDefault="00A95E07" w:rsidP="00A95E07">
                <w:sdt>
                  <w:sdtPr>
                    <w:id w:val="600612677"/>
                    <w:citation/>
                  </w:sdtPr>
                  <w:sdtContent>
                    <w:r>
                      <w:fldChar w:fldCharType="begin"/>
                    </w:r>
                    <w:r>
                      <w:rPr>
                        <w:lang w:val="en-CA"/>
                      </w:rPr>
                      <w:instrText xml:space="preserve">CITATION Ford11 \l 4105 </w:instrText>
                    </w:r>
                    <w:r>
                      <w:fldChar w:fldCharType="separate"/>
                    </w:r>
                    <w:r w:rsidRPr="00A95E07">
                      <w:rPr>
                        <w:noProof/>
                        <w:lang w:val="en-CA"/>
                      </w:rPr>
                      <w:t>(Ford)</w:t>
                    </w:r>
                    <w:r>
                      <w:fldChar w:fldCharType="end"/>
                    </w:r>
                  </w:sdtContent>
                </w:sdt>
              </w:p>
              <w:p w:rsidR="00A95E07" w:rsidRDefault="00A95E07" w:rsidP="00A95E07">
                <w:sdt>
                  <w:sdtPr>
                    <w:id w:val="129596570"/>
                    <w:citation/>
                  </w:sdtPr>
                  <w:sdtContent>
                    <w:r>
                      <w:fldChar w:fldCharType="begin"/>
                    </w:r>
                    <w:r>
                      <w:rPr>
                        <w:lang w:val="en-CA"/>
                      </w:rPr>
                      <w:instrText xml:space="preserve"> CITATION Judd02 \l 4105 </w:instrText>
                    </w:r>
                    <w:r>
                      <w:fldChar w:fldCharType="separate"/>
                    </w:r>
                    <w:r w:rsidRPr="00A95E07">
                      <w:rPr>
                        <w:noProof/>
                        <w:lang w:val="en-CA"/>
                      </w:rPr>
                      <w:t>(Judd and Surridge)</w:t>
                    </w:r>
                    <w:r>
                      <w:fldChar w:fldCharType="end"/>
                    </w:r>
                  </w:sdtContent>
                </w:sdt>
              </w:p>
              <w:p w:rsidR="00A95E07" w:rsidRDefault="00A95E07" w:rsidP="00A95E07">
                <w:sdt>
                  <w:sdtPr>
                    <w:id w:val="227578655"/>
                    <w:citation/>
                  </w:sdtPr>
                  <w:sdtContent>
                    <w:r>
                      <w:fldChar w:fldCharType="begin"/>
                    </w:r>
                    <w:r>
                      <w:rPr>
                        <w:lang w:val="en-CA"/>
                      </w:rPr>
                      <w:instrText xml:space="preserve"> CITATION Nasson10 \l 4105 </w:instrText>
                    </w:r>
                    <w:r>
                      <w:fldChar w:fldCharType="separate"/>
                    </w:r>
                    <w:r w:rsidRPr="00A95E07">
                      <w:rPr>
                        <w:noProof/>
                        <w:lang w:val="en-CA"/>
                      </w:rPr>
                      <w:t>(Nasson)</w:t>
                    </w:r>
                    <w:r>
                      <w:fldChar w:fldCharType="end"/>
                    </w:r>
                  </w:sdtContent>
                </w:sdt>
              </w:p>
              <w:p w:rsidR="003235A7" w:rsidRDefault="00A95E07" w:rsidP="00A95E07">
                <w:sdt>
                  <w:sdtPr>
                    <w:id w:val="57987617"/>
                    <w:citation/>
                  </w:sdtPr>
                  <w:sdtContent>
                    <w:r>
                      <w:fldChar w:fldCharType="begin"/>
                    </w:r>
                    <w:r>
                      <w:rPr>
                        <w:lang w:val="en-CA"/>
                      </w:rPr>
                      <w:instrText xml:space="preserve"> CITATION Omissi02 \l 4105 </w:instrText>
                    </w:r>
                    <w:r>
                      <w:fldChar w:fldCharType="separate"/>
                    </w:r>
                    <w:r w:rsidRPr="00A95E07">
                      <w:rPr>
                        <w:noProof/>
                        <w:lang w:val="en-CA"/>
                      </w:rPr>
                      <w:t>(Omissi and Thompson)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E0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A95E0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A95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6191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6191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6191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6191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6191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61919" w:rsidRDefault="0057546F">
          <w:pPr>
            <w:pStyle w:val="FDEFCD5D3353425EA20A3BE3BC7F4DAF"/>
          </w:pPr>
          <w:r>
            <w:rPr>
              <w:rStyle w:val="PlaceholderText"/>
            </w:rPr>
            <w:t>[Enter the institution with which you are affiliated]</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6191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6191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6191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61919" w:rsidRDefault="0057546F">
          <w:pPr>
            <w:pStyle w:val="EE020CC6EF1144059DB56B6DBA1EE70C"/>
          </w:pPr>
          <w:r>
            <w:rPr>
              <w:rStyle w:val="PlaceholderText"/>
            </w:rPr>
            <w:t>[Enter citations for further reading here]</w:t>
          </w:r>
        </w:p>
      </w:docPartBody>
    </w:docPart>
    <w:docPart>
      <w:docPartPr>
        <w:name w:val="6BBD5921E3E144538A934738A6826AAC"/>
        <w:category>
          <w:name w:val="General"/>
          <w:gallery w:val="placeholder"/>
        </w:category>
        <w:types>
          <w:type w:val="bbPlcHdr"/>
        </w:types>
        <w:behaviors>
          <w:behavior w:val="content"/>
        </w:behaviors>
        <w:guid w:val="{F6A0329D-23C3-4CC2-A5A1-9A68316ACBB0}"/>
      </w:docPartPr>
      <w:docPartBody>
        <w:p w:rsidR="00000000" w:rsidRDefault="00F61919" w:rsidP="00F61919">
          <w:pPr>
            <w:pStyle w:val="6BBD5921E3E144538A934738A6826AA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61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91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6BBD5921E3E144538A934738A6826AAC">
    <w:name w:val="6BBD5921E3E144538A934738A6826AAC"/>
    <w:rsid w:val="00F619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91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6BBD5921E3E144538A934738A6826AAC">
    <w:name w:val="6BBD5921E3E144538A934738A6826AAC"/>
    <w:rsid w:val="00F61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Doyle00</b:Tag>
    <b:SourceType>Book</b:SourceType>
    <b:Guid>{195EE270-8F68-40E5-8634-B211239CB8FD}</b:Guid>
    <b:Title>The War in South Africa: Its Causes and Conduct</b:Title>
    <b:Medium>Full text available via Google Books: &lt;http://bit.ly/OowaBR&gt;</b:Medium>
    <b:Year>1900</b:Year>
    <b:Author>
      <b:Author>
        <b:NameList>
          <b:Person>
            <b:Last>Doyle</b:Last>
            <b:First>Arthur</b:First>
            <b:Middle>Conan</b:Middle>
          </b:Person>
        </b:NameList>
      </b:Author>
    </b:Author>
    <b:City>New York</b:City>
    <b:Publisher>McClure, Phillips, &amp; Co. </b:Publisher>
    <b:RefOrder>1</b:RefOrder>
  </b:Source>
  <b:Source>
    <b:Tag>Ford11</b:Tag>
    <b:SourceType>Book</b:SourceType>
    <b:Guid>{57FD75DC-3034-4E50-8D34-17878493C3A7}</b:Guid>
    <b:Author>
      <b:Author>
        <b:NameList>
          <b:Person>
            <b:Last>Ford</b:Last>
            <b:First>Ford</b:First>
            <b:Middle>Madox</b:Middle>
          </b:Person>
        </b:NameList>
      </b:Author>
    </b:Author>
    <b:Title>Memories and Impressions: A Study in Atmospheres</b:Title>
    <b:Year>1911</b:Year>
    <b:City>New York and London</b:City>
    <b:Publisher>Harper</b:Publisher>
    <b:Medium>Full text available via the Internet Archive: &lt;http://bit.ly/O3ajKH&gt;</b:Medium>
    <b:RefOrder>2</b:RefOrder>
  </b:Source>
  <b:Source>
    <b:Tag>Judd02</b:Tag>
    <b:SourceType>Book</b:SourceType>
    <b:Guid>{21158F6B-7618-444C-9AE7-942BFE9A8AE2}</b:Guid>
    <b:Author>
      <b:Author>
        <b:NameList>
          <b:Person>
            <b:Last>Judd</b:Last>
            <b:First>Denis</b:First>
          </b:Person>
          <b:Person>
            <b:Last>Surridge</b:Last>
            <b:First>Keith</b:First>
          </b:Person>
        </b:NameList>
      </b:Author>
    </b:Author>
    <b:Title>The Boer War</b:Title>
    <b:Year>2002</b:Year>
    <b:City>London</b:City>
    <b:Publisher>John Murray</b:Publisher>
    <b:Medium>Print</b:Medium>
    <b:RefOrder>3</b:RefOrder>
  </b:Source>
  <b:Source>
    <b:Tag>Nasson10</b:Tag>
    <b:SourceType>Book</b:SourceType>
    <b:Guid>{FDDB46D3-57E4-4A58-91FE-D930034448DF}</b:Guid>
    <b:Author>
      <b:Author>
        <b:NameList>
          <b:Person>
            <b:Last>Nasson</b:Last>
            <b:First>Bill</b:First>
          </b:Person>
        </b:NameList>
      </b:Author>
    </b:Author>
    <b:Title>The War for South Africa</b:Title>
    <b:Year>2010</b:Year>
    <b:City>Cape Town</b:City>
    <b:Publisher>Tafelberg</b:Publisher>
    <b:Medium>Print</b:Medium>
    <b:RefOrder>4</b:RefOrder>
  </b:Source>
  <b:Source>
    <b:Tag>Omissi02</b:Tag>
    <b:SourceType>Book</b:SourceType>
    <b:Guid>{67807BA4-A3FD-4456-AC19-45525DF2B458}</b:Guid>
    <b:Author>
      <b:Author>
        <b:NameList>
          <b:Person>
            <b:Last>Omissi</b:Last>
            <b:First>David</b:First>
          </b:Person>
          <b:Person>
            <b:Last>Thompson</b:Last>
            <b:First>Andrew</b:First>
            <b:Middle>S. (eds.)</b:Middle>
          </b:Person>
        </b:NameList>
      </b:Author>
    </b:Author>
    <b:Title>The Impact of the South African War</b:Title>
    <b:Year>2002</b:Year>
    <b:City>New York</b:City>
    <b:Publisher>Palgrave</b:Publisher>
    <b:Medium>Print</b:Medium>
    <b:RefOrder>5</b:RefOrder>
  </b:Source>
</b:Sources>
</file>

<file path=customXml/itemProps1.xml><?xml version="1.0" encoding="utf-8"?>
<ds:datastoreItem xmlns:ds="http://schemas.openxmlformats.org/officeDocument/2006/customXml" ds:itemID="{C6570694-D72B-4774-A236-4F9B22EF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2015-11-19T07:35:00Z</dcterms:created>
  <dcterms:modified xsi:type="dcterms:W3CDTF">2015-11-19T07:35:00Z</dcterms:modified>
</cp:coreProperties>
</file>