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59"/>
        <w:gridCol w:w="2073"/>
        <w:gridCol w:w="2551"/>
        <w:gridCol w:w="2642"/>
      </w:tblGrid>
      <w:tr w:rsidR="00B574C9" w:rsidRPr="00925D94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925D94" w:rsidRDefault="00B574C9" w:rsidP="00CC586D">
            <w:pPr>
              <w:jc w:val="center"/>
              <w:rPr>
                <w:color w:val="FFFFFF" w:themeColor="background1"/>
              </w:rPr>
            </w:pPr>
            <w:r w:rsidRPr="00925D94">
              <w:rPr>
                <w:color w:val="FFFFFF" w:themeColor="background1"/>
              </w:rPr>
              <w:t>About you</w:t>
            </w:r>
          </w:p>
        </w:tc>
        <w:sdt>
          <w:sdtPr>
            <w:rPr>
              <w:color w:val="FFFFFF" w:themeColor="background1"/>
            </w:rPr>
            <w:alias w:val="Salutation"/>
            <w:tag w:val="salutation"/>
            <w:id w:val="-1659997262"/>
            <w:placeholder>
              <w:docPart w:val="38577AF794609545BEC48CB853357AC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925D94" w:rsidRDefault="00B574C9" w:rsidP="00CC586D">
                <w:pPr>
                  <w:jc w:val="center"/>
                  <w:rPr>
                    <w:color w:val="FFFFFF" w:themeColor="background1"/>
                  </w:rPr>
                </w:pPr>
                <w:r w:rsidRPr="00925D94">
                  <w:rPr>
                    <w:rStyle w:val="PlaceholderText"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32D23A56A30B945A2C60337A4F86555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925D94" w:rsidRDefault="00925D94" w:rsidP="00925D94">
                <w:r>
                  <w:t>Kurt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BAF568ED76BDA47BAE3AC5D4D71976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925D94" w:rsidRDefault="00B574C9" w:rsidP="00922950">
                <w:r w:rsidRPr="00925D94">
                  <w:rPr>
                    <w:rStyle w:val="PlaceholderText"/>
                  </w:rPr>
                  <w:t>[Middle name]</w:t>
                </w:r>
              </w:p>
            </w:tc>
          </w:sdtContent>
        </w:sdt>
        <w:bookmarkStart w:id="0" w:name="_GoBack" w:displacedByCustomXml="next"/>
        <w:sdt>
          <w:sdtPr>
            <w:alias w:val="Last name"/>
            <w:tag w:val="authorLastName"/>
            <w:id w:val="-1088529830"/>
            <w:placeholder>
              <w:docPart w:val="F6D5D29FDC95A94383F5C43CA2B06285"/>
            </w:placeholder>
            <w:text/>
          </w:sdtPr>
          <w:sdtContent>
            <w:tc>
              <w:tcPr>
                <w:tcW w:w="2642" w:type="dxa"/>
              </w:tcPr>
              <w:p w:rsidR="00B574C9" w:rsidRPr="00925D94" w:rsidRDefault="00925D94" w:rsidP="00922950">
                <w:proofErr w:type="spellStart"/>
                <w:r w:rsidRPr="00925D94">
                  <w:rPr>
                    <w:rFonts w:eastAsiaTheme="minorEastAsia"/>
                    <w:color w:val="000000"/>
                    <w:lang w:val="en-US" w:eastAsia="ja-JP"/>
                  </w:rPr>
                  <w:t>Ifkovits</w:t>
                </w:r>
                <w:proofErr w:type="spellEnd"/>
              </w:p>
            </w:tc>
          </w:sdtContent>
        </w:sdt>
        <w:bookmarkEnd w:id="0" w:displacedByCustomXml="prev"/>
      </w:tr>
      <w:tr w:rsidR="00B574C9" w:rsidRPr="00925D94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925D94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91E095A975D44088E3904B73F4741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925D94" w:rsidRDefault="00B574C9" w:rsidP="00922950">
                <w:r w:rsidRPr="00925D9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925D94" w:rsidTr="00925D9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925D94" w:rsidRDefault="00B574C9" w:rsidP="00CF1542">
            <w:pPr>
              <w:jc w:val="center"/>
              <w:rPr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05B1477C0830A469DF77A26A90C9A3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Pr="00925D94" w:rsidRDefault="00925D94" w:rsidP="00B574C9">
                <w:proofErr w:type="spellStart"/>
                <w:r w:rsidRPr="00925D94">
                  <w:rPr>
                    <w:rFonts w:ascii="Calibri" w:eastAsia="Times New Roman" w:hAnsi="Calibri" w:cs="Times New Roman"/>
                    <w:szCs w:val="20"/>
                    <w:lang w:val="en-CA"/>
                  </w:rPr>
                  <w:t>Österreichisches</w:t>
                </w:r>
                <w:proofErr w:type="spellEnd"/>
                <w:r w:rsidRPr="00925D94">
                  <w:rPr>
                    <w:rFonts w:ascii="Calibri" w:eastAsia="Times New Roman" w:hAnsi="Calibri" w:cs="Times New Roman"/>
                    <w:szCs w:val="20"/>
                    <w:lang w:val="en-CA"/>
                  </w:rPr>
                  <w:t xml:space="preserve"> </w:t>
                </w:r>
                <w:proofErr w:type="spellStart"/>
                <w:r w:rsidRPr="00925D94">
                  <w:rPr>
                    <w:rFonts w:ascii="Calibri" w:eastAsia="Times New Roman" w:hAnsi="Calibri" w:cs="Times New Roman"/>
                    <w:szCs w:val="20"/>
                    <w:lang w:val="en-CA"/>
                  </w:rPr>
                  <w:t>Theatermuseum</w:t>
                </w:r>
                <w:proofErr w:type="spellEnd"/>
              </w:p>
            </w:tc>
          </w:sdtContent>
        </w:sdt>
      </w:tr>
    </w:tbl>
    <w:p w:rsidR="003D3579" w:rsidRPr="00925D94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925D94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925D94" w:rsidRDefault="00244BB0" w:rsidP="00244BB0">
            <w:pPr>
              <w:jc w:val="center"/>
              <w:rPr>
                <w:color w:val="FFFFFF" w:themeColor="background1"/>
              </w:rPr>
            </w:pPr>
            <w:r w:rsidRPr="00925D94">
              <w:rPr>
                <w:color w:val="FFFFFF" w:themeColor="background1"/>
              </w:rPr>
              <w:t>Your article</w:t>
            </w:r>
          </w:p>
        </w:tc>
      </w:tr>
      <w:tr w:rsidR="003F0D73" w:rsidRPr="00925D94" w:rsidTr="003F0D73">
        <w:sdt>
          <w:sdtPr>
            <w:alias w:val="Article headword"/>
            <w:tag w:val="articleHeadword"/>
            <w:id w:val="-361440020"/>
            <w:placeholder>
              <w:docPart w:val="C755ADABEB7271409B13CDBD4A51876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925D94" w:rsidRDefault="00925D94" w:rsidP="00925D94">
                <w:proofErr w:type="spellStart"/>
                <w:r w:rsidRPr="00925D94">
                  <w:rPr>
                    <w:rFonts w:eastAsiaTheme="minorEastAsia" w:cs="Times New Roman"/>
                    <w:lang w:eastAsia="ja-JP"/>
                  </w:rPr>
                  <w:t>Brahm</w:t>
                </w:r>
                <w:proofErr w:type="spellEnd"/>
                <w:r w:rsidRPr="00925D94">
                  <w:rPr>
                    <w:rFonts w:eastAsiaTheme="minorEastAsia" w:cs="Times New Roman"/>
                    <w:lang w:eastAsia="ja-JP"/>
                  </w:rPr>
                  <w:t>, Otto</w:t>
                </w:r>
                <w:r w:rsidRPr="00925D94">
                  <w:rPr>
                    <w:rFonts w:eastAsiaTheme="minorEastAsia" w:cs="Times New Roman"/>
                    <w:lang w:eastAsia="ja-JP"/>
                  </w:rPr>
                  <w:t xml:space="preserve"> (1856-1912)</w:t>
                </w:r>
              </w:p>
            </w:tc>
          </w:sdtContent>
        </w:sdt>
      </w:tr>
      <w:tr w:rsidR="00464699" w:rsidRPr="00925D94" w:rsidTr="007821B0">
        <w:sdt>
          <w:sdtPr>
            <w:alias w:val="Variant headwords"/>
            <w:tag w:val="variantHeadwords"/>
            <w:id w:val="173464402"/>
            <w:placeholder>
              <w:docPart w:val="A35807E6AAA6A046B67AC13A3983997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925D94" w:rsidRDefault="00925D94" w:rsidP="00464699">
                <w:r w:rsidRPr="00925D94">
                  <w:rPr>
                    <w:rFonts w:eastAsiaTheme="minorEastAsia" w:cs="Times New Roman"/>
                    <w:lang w:eastAsia="ja-JP"/>
                  </w:rPr>
                  <w:t>Otto Abrahamson</w:t>
                </w:r>
              </w:p>
            </w:tc>
          </w:sdtContent>
        </w:sdt>
      </w:tr>
      <w:tr w:rsidR="00E85A05" w:rsidRPr="00925D94" w:rsidTr="003F0D73">
        <w:sdt>
          <w:sdtPr>
            <w:alias w:val="Abstract"/>
            <w:tag w:val="abstract"/>
            <w:id w:val="-635871867"/>
            <w:placeholder>
              <w:docPart w:val="E12770B67251A94E8B7057D95C23DB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925D94" w:rsidRDefault="00925D94" w:rsidP="00925D94">
                <w:pPr>
                  <w:rPr>
                    <w:rFonts w:cs="Times New Roman"/>
                  </w:rPr>
                </w:pPr>
                <w:proofErr w:type="spellStart"/>
                <w:r w:rsidRPr="00925D94">
                  <w:rPr>
                    <w:rFonts w:cs="Times New Roman"/>
                  </w:rPr>
                  <w:t>Brahm</w:t>
                </w:r>
                <w:proofErr w:type="spellEnd"/>
                <w:r w:rsidRPr="00925D94">
                  <w:rPr>
                    <w:rFonts w:cs="Times New Roman"/>
                  </w:rPr>
                  <w:t xml:space="preserve">, Otto (Otto Abrahamson) (1856-1912) </w:t>
                </w:r>
                <w:commentRangeStart w:id="1"/>
                <w:r w:rsidRPr="00925D94">
                  <w:rPr>
                    <w:rFonts w:cs="Times New Roman"/>
                  </w:rPr>
                  <w:t>[Image 1]</w:t>
                </w:r>
                <w:commentRangeEnd w:id="1"/>
                <w:r w:rsidRPr="00925D94">
                  <w:rPr>
                    <w:rStyle w:val="CommentReference"/>
                    <w:sz w:val="22"/>
                    <w:szCs w:val="22"/>
                  </w:rPr>
                  <w:commentReference w:id="1"/>
                </w:r>
                <w:r w:rsidRPr="00925D94">
                  <w:rPr>
                    <w:rFonts w:cs="Times New Roman"/>
                  </w:rPr>
                  <w:t xml:space="preserve"> was a German literary historian, critic, dramaturge, theatre manager, and editor. After studying German literature in Berlin, </w:t>
                </w:r>
                <w:proofErr w:type="spellStart"/>
                <w:r w:rsidRPr="00925D94">
                  <w:rPr>
                    <w:rFonts w:cs="Times New Roman"/>
                  </w:rPr>
                  <w:t>Brahm</w:t>
                </w:r>
                <w:proofErr w:type="spellEnd"/>
                <w:r w:rsidRPr="00925D94">
                  <w:rPr>
                    <w:rFonts w:cs="Times New Roman"/>
                  </w:rPr>
                  <w:t xml:space="preserve"> became an influential theatre critic and proponent of naturalism, championing Ibsen’s works in particular. In 1889 he co-founded the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Freie</w:t>
                </w:r>
                <w:proofErr w:type="spellEnd"/>
                <w:r w:rsidRPr="00925D94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Bühne</w:t>
                </w:r>
                <w:proofErr w:type="spellEnd"/>
                <w:r w:rsidRPr="00925D94">
                  <w:rPr>
                    <w:rFonts w:cs="Times New Roman"/>
                    <w:i/>
                  </w:rPr>
                  <w:t xml:space="preserve"> </w:t>
                </w:r>
                <w:r w:rsidRPr="00925D94">
                  <w:rPr>
                    <w:rFonts w:cs="Times New Roman"/>
                  </w:rPr>
                  <w:t xml:space="preserve">in Berlin, as well as a journal of the same name in 1890. </w:t>
                </w:r>
                <w:proofErr w:type="spellStart"/>
                <w:r w:rsidRPr="00925D94">
                  <w:rPr>
                    <w:rFonts w:cs="Times New Roman"/>
                  </w:rPr>
                  <w:t>Brahm</w:t>
                </w:r>
                <w:proofErr w:type="spellEnd"/>
                <w:r w:rsidRPr="00925D94">
                  <w:rPr>
                    <w:rFonts w:cs="Times New Roman"/>
                  </w:rPr>
                  <w:t xml:space="preserve"> was its editor-in-chief for four years.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Freie</w:t>
                </w:r>
                <w:proofErr w:type="spellEnd"/>
                <w:r w:rsidRPr="00925D94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Bühne</w:t>
                </w:r>
                <w:proofErr w:type="spellEnd"/>
                <w:r w:rsidRPr="00925D94">
                  <w:rPr>
                    <w:rFonts w:cs="Times New Roman"/>
                  </w:rPr>
                  <w:t xml:space="preserve"> was initially conducted as a private theatre society to skirt censorship laws. As its dramaturge, </w:t>
                </w:r>
                <w:proofErr w:type="spellStart"/>
                <w:r w:rsidRPr="00925D94">
                  <w:rPr>
                    <w:rFonts w:cs="Times New Roman"/>
                  </w:rPr>
                  <w:t>Brahm</w:t>
                </w:r>
                <w:proofErr w:type="spellEnd"/>
                <w:r w:rsidRPr="00925D94">
                  <w:rPr>
                    <w:rFonts w:cs="Times New Roman"/>
                  </w:rPr>
                  <w:t xml:space="preserve"> was involved in many path-breaking productions (e.g., Ibsen’s </w:t>
                </w:r>
                <w:r w:rsidRPr="00925D94">
                  <w:rPr>
                    <w:rFonts w:cs="Times New Roman"/>
                    <w:i/>
                  </w:rPr>
                  <w:t>Ghosts</w:t>
                </w:r>
                <w:r w:rsidRPr="00925D94">
                  <w:rPr>
                    <w:rFonts w:cs="Times New Roman"/>
                  </w:rPr>
                  <w:t xml:space="preserve">) that would make theatre history and lead to the breakthrough of theatrical naturalism in Germany. </w:t>
                </w:r>
                <w:proofErr w:type="spellStart"/>
                <w:r w:rsidRPr="00925D94">
                  <w:rPr>
                    <w:rFonts w:cs="Times New Roman"/>
                  </w:rPr>
                  <w:t>Brahm</w:t>
                </w:r>
                <w:proofErr w:type="spellEnd"/>
                <w:r w:rsidRPr="00925D94">
                  <w:rPr>
                    <w:rFonts w:cs="Times New Roman"/>
                  </w:rPr>
                  <w:t xml:space="preserve"> was also an advocate of </w:t>
                </w:r>
                <w:proofErr w:type="spellStart"/>
                <w:r w:rsidRPr="00925D94">
                  <w:rPr>
                    <w:rFonts w:cs="Times New Roman"/>
                  </w:rPr>
                  <w:t>Gerhart</w:t>
                </w:r>
                <w:proofErr w:type="spellEnd"/>
                <w:r w:rsidRPr="00925D94">
                  <w:rPr>
                    <w:rFonts w:cs="Times New Roman"/>
                  </w:rPr>
                  <w:t xml:space="preserve"> Hauptmann, paving the way for the premieres of </w:t>
                </w:r>
                <w:r w:rsidRPr="00925D94">
                  <w:rPr>
                    <w:rFonts w:cs="Times New Roman"/>
                    <w:i/>
                  </w:rPr>
                  <w:t>Die Weber</w:t>
                </w:r>
                <w:r w:rsidRPr="00925D94">
                  <w:rPr>
                    <w:rFonts w:cs="Times New Roman"/>
                  </w:rPr>
                  <w:t xml:space="preserve"> (The Weavers) and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Vor</w:t>
                </w:r>
                <w:proofErr w:type="spellEnd"/>
                <w:r w:rsidRPr="00925D94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Sonnenaufgang</w:t>
                </w:r>
                <w:proofErr w:type="spellEnd"/>
                <w:r w:rsidRPr="00925D94">
                  <w:rPr>
                    <w:rFonts w:cs="Times New Roman"/>
                  </w:rPr>
                  <w:t xml:space="preserve"> (Before Dawn). In 1894 he took over leadership of the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Neues</w:t>
                </w:r>
                <w:proofErr w:type="spellEnd"/>
                <w:r w:rsidRPr="00925D94">
                  <w:rPr>
                    <w:rFonts w:cs="Times New Roman"/>
                    <w:i/>
                  </w:rPr>
                  <w:t xml:space="preserve"> 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Theater</w:t>
                </w:r>
                <w:proofErr w:type="spellEnd"/>
                <w:r w:rsidRPr="00925D94">
                  <w:rPr>
                    <w:rFonts w:cs="Times New Roman"/>
                  </w:rPr>
                  <w:t xml:space="preserve"> in Berlin, and from 1904 he was at the helm of the </w:t>
                </w:r>
                <w:r w:rsidRPr="00925D94">
                  <w:rPr>
                    <w:rFonts w:cs="Times New Roman"/>
                    <w:i/>
                  </w:rPr>
                  <w:t>Lessing-</w:t>
                </w:r>
                <w:proofErr w:type="spellStart"/>
                <w:r w:rsidRPr="00925D94">
                  <w:rPr>
                    <w:rFonts w:cs="Times New Roman"/>
                    <w:i/>
                  </w:rPr>
                  <w:t>Theater</w:t>
                </w:r>
                <w:proofErr w:type="spellEnd"/>
                <w:r w:rsidRPr="00925D94">
                  <w:rPr>
                    <w:rFonts w:cs="Times New Roman"/>
                  </w:rPr>
                  <w:t xml:space="preserve">. His acting ensemble was among the finest in Germany and eventually included the young Max Reinhardt. By banishing pathos from the stage, espousing instead a stark psychological realism, </w:t>
                </w:r>
                <w:proofErr w:type="spellStart"/>
                <w:r w:rsidRPr="00925D94">
                  <w:rPr>
                    <w:rFonts w:cs="Times New Roman"/>
                  </w:rPr>
                  <w:t>Brahm</w:t>
                </w:r>
                <w:proofErr w:type="spellEnd"/>
                <w:r w:rsidRPr="00925D94">
                  <w:rPr>
                    <w:rFonts w:cs="Times New Roman"/>
                  </w:rPr>
                  <w:t xml:space="preserve"> can be considered—as the critic Alfred Kerr dubbed him—the “the true architect of a European stage.”</w:t>
                </w:r>
              </w:p>
            </w:tc>
          </w:sdtContent>
        </w:sdt>
      </w:tr>
      <w:tr w:rsidR="003F0D73" w:rsidRPr="00925D94" w:rsidTr="003F0D73">
        <w:sdt>
          <w:sdtPr>
            <w:alias w:val="Article text"/>
            <w:tag w:val="articleText"/>
            <w:id w:val="634067588"/>
            <w:placeholder>
              <w:docPart w:val="43A1E82B648F9F499B30524D82842A56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sdt>
              <w:sdtPr>
                <w:alias w:val="Abstract"/>
                <w:tag w:val="abstract"/>
                <w:id w:val="-1105720242"/>
                <w:placeholder>
                  <w:docPart w:val="2BB1FC5C8522AB4A88A65F5A3595C21F"/>
                </w:placeholder>
              </w:sdtPr>
              <w:sdtEndPr>
                <w:rPr>
                  <w:b/>
                  <w:color w:val="385623" w:themeColor="accent6" w:themeShade="80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925D94" w:rsidRPr="00925D94" w:rsidRDefault="00925D94" w:rsidP="00925D94">
                    <w:pPr>
                      <w:rPr>
                        <w:rFonts w:cs="Times New Roman"/>
                      </w:rPr>
                    </w:pPr>
                    <w:proofErr w:type="spellStart"/>
                    <w:r w:rsidRPr="00925D94">
                      <w:rPr>
                        <w:rFonts w:cs="Times New Roman"/>
                      </w:rPr>
                      <w:t>Brahm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, Otto (Otto Abrahamson) (1856-1912) </w:t>
                    </w:r>
                    <w:commentRangeStart w:id="2"/>
                    <w:r w:rsidRPr="00925D94">
                      <w:rPr>
                        <w:rFonts w:cs="Times New Roman"/>
                      </w:rPr>
                      <w:t>[Image 1]</w:t>
                    </w:r>
                    <w:commentRangeEnd w:id="2"/>
                    <w:r w:rsidRPr="00925D94">
                      <w:rPr>
                        <w:rStyle w:val="CommentReference"/>
                        <w:sz w:val="22"/>
                        <w:szCs w:val="22"/>
                      </w:rPr>
                      <w:commentReference w:id="2"/>
                    </w:r>
                    <w:r w:rsidRPr="00925D94">
                      <w:rPr>
                        <w:rFonts w:cs="Times New Roman"/>
                      </w:rPr>
                      <w:t xml:space="preserve"> was a German literary historian, critic, dramaturge, theatre manager, and editor. After studying German literature in Berlin, </w:t>
                    </w:r>
                    <w:proofErr w:type="spellStart"/>
                    <w:r w:rsidRPr="00925D94">
                      <w:rPr>
                        <w:rFonts w:cs="Times New Roman"/>
                      </w:rPr>
                      <w:t>Brahm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became an influential theatre critic and proponent of naturalism, championing Ibsen’s works in particular. In 1889 he co-founded the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Freie</w:t>
                    </w:r>
                    <w:proofErr w:type="spellEnd"/>
                    <w:r w:rsidRPr="00925D94">
                      <w:rPr>
                        <w:rFonts w:cs="Times New Roman"/>
                        <w:i/>
                      </w:rPr>
                      <w:t xml:space="preserve">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Bühne</w:t>
                    </w:r>
                    <w:proofErr w:type="spellEnd"/>
                    <w:r w:rsidRPr="00925D94">
                      <w:rPr>
                        <w:rFonts w:cs="Times New Roman"/>
                        <w:i/>
                      </w:rPr>
                      <w:t xml:space="preserve"> </w:t>
                    </w:r>
                    <w:r w:rsidRPr="00925D94">
                      <w:rPr>
                        <w:rFonts w:cs="Times New Roman"/>
                      </w:rPr>
                      <w:t xml:space="preserve">in Berlin, as well as a journal of the same name in 1890. </w:t>
                    </w:r>
                    <w:proofErr w:type="spellStart"/>
                    <w:r w:rsidRPr="00925D94">
                      <w:rPr>
                        <w:rFonts w:cs="Times New Roman"/>
                      </w:rPr>
                      <w:t>Brahm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was its editor-in-chief for four years.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Freie</w:t>
                    </w:r>
                    <w:proofErr w:type="spellEnd"/>
                    <w:r w:rsidRPr="00925D94">
                      <w:rPr>
                        <w:rFonts w:cs="Times New Roman"/>
                        <w:i/>
                      </w:rPr>
                      <w:t xml:space="preserve">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Bühne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was initially conducted as a private theatre society to skirt censorship laws. As its dramaturge, </w:t>
                    </w:r>
                    <w:proofErr w:type="spellStart"/>
                    <w:r w:rsidRPr="00925D94">
                      <w:rPr>
                        <w:rFonts w:cs="Times New Roman"/>
                      </w:rPr>
                      <w:t>Brahm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was involved in many path-breaking productions (e.g., Ibsen’s </w:t>
                    </w:r>
                    <w:r w:rsidRPr="00925D94">
                      <w:rPr>
                        <w:rFonts w:cs="Times New Roman"/>
                        <w:i/>
                      </w:rPr>
                      <w:t>Ghosts</w:t>
                    </w:r>
                    <w:r w:rsidRPr="00925D94">
                      <w:rPr>
                        <w:rFonts w:cs="Times New Roman"/>
                      </w:rPr>
                      <w:t xml:space="preserve">) that would make theatre history and lead to the breakthrough of theatrical naturalism in Germany. </w:t>
                    </w:r>
                    <w:proofErr w:type="spellStart"/>
                    <w:r w:rsidRPr="00925D94">
                      <w:rPr>
                        <w:rFonts w:cs="Times New Roman"/>
                      </w:rPr>
                      <w:t>Brahm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was also an advocate of </w:t>
                    </w:r>
                    <w:proofErr w:type="spellStart"/>
                    <w:r w:rsidRPr="00925D94">
                      <w:rPr>
                        <w:rFonts w:cs="Times New Roman"/>
                      </w:rPr>
                      <w:t>Gerhart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Hauptmann, paving the way for the premieres of </w:t>
                    </w:r>
                    <w:r w:rsidRPr="00925D94">
                      <w:rPr>
                        <w:rFonts w:cs="Times New Roman"/>
                        <w:i/>
                      </w:rPr>
                      <w:t>Die Weber</w:t>
                    </w:r>
                    <w:r w:rsidRPr="00925D94">
                      <w:rPr>
                        <w:rFonts w:cs="Times New Roman"/>
                      </w:rPr>
                      <w:t xml:space="preserve"> (The Weavers) and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Vor</w:t>
                    </w:r>
                    <w:proofErr w:type="spellEnd"/>
                    <w:r w:rsidRPr="00925D94">
                      <w:rPr>
                        <w:rFonts w:cs="Times New Roman"/>
                        <w:i/>
                      </w:rPr>
                      <w:t xml:space="preserve">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Sonnenaufgang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(Before Dawn). In 1894 he took over leadership of the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Neues</w:t>
                    </w:r>
                    <w:proofErr w:type="spellEnd"/>
                    <w:r w:rsidRPr="00925D94">
                      <w:rPr>
                        <w:rFonts w:cs="Times New Roman"/>
                        <w:i/>
                      </w:rPr>
                      <w:t xml:space="preserve"> 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Theater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in Berlin, and from 1904 he was at the helm of the </w:t>
                    </w:r>
                    <w:r w:rsidRPr="00925D94">
                      <w:rPr>
                        <w:rFonts w:cs="Times New Roman"/>
                        <w:i/>
                      </w:rPr>
                      <w:t>Lessing-</w:t>
                    </w:r>
                    <w:proofErr w:type="spellStart"/>
                    <w:r w:rsidRPr="00925D94">
                      <w:rPr>
                        <w:rFonts w:cs="Times New Roman"/>
                        <w:i/>
                      </w:rPr>
                      <w:t>Theater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. His acting ensemble was among the finest in Germany and eventually included the young Max Reinhardt. By banishing pathos from the stage, espousing instead a stark psychological realism, </w:t>
                    </w:r>
                    <w:proofErr w:type="spellStart"/>
                    <w:r w:rsidRPr="00925D94">
                      <w:rPr>
                        <w:rFonts w:cs="Times New Roman"/>
                      </w:rPr>
                      <w:t>Brahm</w:t>
                    </w:r>
                    <w:proofErr w:type="spellEnd"/>
                    <w:r w:rsidRPr="00925D94">
                      <w:rPr>
                        <w:rFonts w:cs="Times New Roman"/>
                      </w:rPr>
                      <w:t xml:space="preserve"> can be considered—as the critic Alfred Kerr dubbed him—the “the true architect of a European stage.”</w:t>
                    </w:r>
                  </w:p>
                  <w:p w:rsidR="00925D94" w:rsidRDefault="00925D94" w:rsidP="00925D94"/>
                  <w:p w:rsidR="00925D94" w:rsidRPr="00925D94" w:rsidRDefault="00925D94" w:rsidP="00925D94">
                    <w:pPr>
                      <w:pStyle w:val="Authornote"/>
                    </w:pPr>
                    <w:r>
                      <w:t>Key Works</w:t>
                    </w:r>
                  </w:p>
                  <w:p w:rsidR="003F0D73" w:rsidRPr="00925D94" w:rsidRDefault="00925D94" w:rsidP="00925D94">
                    <w:pPr>
                      <w:pStyle w:val="Authornote"/>
                    </w:pPr>
                    <w:proofErr w:type="spellStart"/>
                    <w:r w:rsidRPr="00D82493">
                      <w:t>Brahm</w:t>
                    </w:r>
                    <w:proofErr w:type="spellEnd"/>
                    <w:r w:rsidRPr="00D82493">
                      <w:t xml:space="preserve">, Otto (1964) </w:t>
                    </w:r>
                    <w:proofErr w:type="spellStart"/>
                    <w:r w:rsidRPr="00D82493">
                      <w:rPr>
                        <w:i/>
                      </w:rPr>
                      <w:t>Kritiken</w:t>
                    </w:r>
                    <w:proofErr w:type="spellEnd"/>
                    <w:r w:rsidRPr="00D82493">
                      <w:rPr>
                        <w:i/>
                      </w:rPr>
                      <w:t xml:space="preserve"> und Essays</w:t>
                    </w:r>
                    <w:r>
                      <w:t>, e</w:t>
                    </w:r>
                    <w:r w:rsidRPr="00D82493">
                      <w:t>d. Fritz Martini. Zürich: Artemis.</w:t>
                    </w:r>
                  </w:p>
                </w:tc>
              </w:sdtContent>
            </w:sdt>
          </w:sdtContent>
        </w:sdt>
      </w:tr>
      <w:tr w:rsidR="003235A7" w:rsidRPr="00925D94" w:rsidTr="003235A7">
        <w:tc>
          <w:tcPr>
            <w:tcW w:w="9016" w:type="dxa"/>
          </w:tcPr>
          <w:p w:rsidR="003235A7" w:rsidRPr="00925D94" w:rsidRDefault="003235A7" w:rsidP="008A5B87">
            <w:r w:rsidRPr="00925D94">
              <w:rPr>
                <w:u w:val="single"/>
              </w:rPr>
              <w:t>Further reading</w:t>
            </w:r>
            <w:r w:rsidRPr="00925D9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FBF9080E0B0F8429B4DB1B50D4F5A77"/>
              </w:placeholder>
            </w:sdtPr>
            <w:sdtEndPr/>
            <w:sdtContent>
              <w:p w:rsidR="00925D94" w:rsidRDefault="00925D94" w:rsidP="00925D94"/>
              <w:p w:rsidR="003235A7" w:rsidRPr="00925D94" w:rsidRDefault="00925D94" w:rsidP="00925D94">
                <w:sdt>
                  <w:sdtPr>
                    <w:id w:val="3834480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Sei78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(Seidlin)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925D94" w:rsidRDefault="00C27FAB" w:rsidP="00B33145"/>
    <w:sectPr w:rsidR="00C27FAB" w:rsidRPr="00925D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vin Tunnicliffe" w:date="2015-11-10T12:26:00Z" w:initials="KT">
    <w:p w:rsidR="00925D94" w:rsidRDefault="00925D94">
      <w:pPr>
        <w:pStyle w:val="CommentText"/>
      </w:pPr>
      <w:r>
        <w:rPr>
          <w:rStyle w:val="CommentReference"/>
        </w:rPr>
        <w:annotationRef/>
      </w:r>
      <w:r>
        <w:t>To be deleted?</w:t>
      </w:r>
    </w:p>
  </w:comment>
  <w:comment w:id="2" w:author="Kevin Tunnicliffe" w:date="2015-11-10T12:26:00Z" w:initials="KT">
    <w:p w:rsidR="00925D94" w:rsidRDefault="00925D94" w:rsidP="00925D94">
      <w:pPr>
        <w:pStyle w:val="CommentText"/>
      </w:pPr>
      <w:r>
        <w:rPr>
          <w:rStyle w:val="CommentReference"/>
        </w:rPr>
        <w:annotationRef/>
      </w:r>
      <w:r>
        <w:t>To be deleted?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94" w:rsidRDefault="00925D94" w:rsidP="007A0D55">
      <w:pPr>
        <w:spacing w:after="0" w:line="240" w:lineRule="auto"/>
      </w:pPr>
      <w:r>
        <w:separator/>
      </w:r>
    </w:p>
  </w:endnote>
  <w:endnote w:type="continuationSeparator" w:id="0">
    <w:p w:rsidR="00925D94" w:rsidRDefault="00925D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94" w:rsidRDefault="00925D94" w:rsidP="007A0D55">
      <w:pPr>
        <w:spacing w:after="0" w:line="240" w:lineRule="auto"/>
      </w:pPr>
      <w:r>
        <w:separator/>
      </w:r>
    </w:p>
  </w:footnote>
  <w:footnote w:type="continuationSeparator" w:id="0">
    <w:p w:rsidR="00925D94" w:rsidRDefault="00925D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9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5D9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D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25D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25D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D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5D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D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D9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25D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25D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D9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5D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D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577AF794609545BEC48CB853357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FD87A-72A6-624F-8F35-E7F4776F869E}"/>
      </w:docPartPr>
      <w:docPartBody>
        <w:p w:rsidR="00000000" w:rsidRDefault="00BA07A5">
          <w:pPr>
            <w:pStyle w:val="38577AF794609545BEC48CB853357AC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32D23A56A30B945A2C60337A4F8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95A09-D778-7248-95A2-4AE6846466AC}"/>
      </w:docPartPr>
      <w:docPartBody>
        <w:p w:rsidR="00000000" w:rsidRDefault="00BA07A5">
          <w:pPr>
            <w:pStyle w:val="032D23A56A30B945A2C60337A4F8655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BAF568ED76BDA47BAE3AC5D4D71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3D3F0-3248-A944-8EA3-81FC340BF42B}"/>
      </w:docPartPr>
      <w:docPartBody>
        <w:p w:rsidR="00000000" w:rsidRDefault="00BA07A5">
          <w:pPr>
            <w:pStyle w:val="9BAF568ED76BDA47BAE3AC5D4D71976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6D5D29FDC95A94383F5C43CA2B06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C94AD-E30C-4E4E-86EE-9E0208AB8D03}"/>
      </w:docPartPr>
      <w:docPartBody>
        <w:p w:rsidR="00000000" w:rsidRDefault="00BA07A5">
          <w:pPr>
            <w:pStyle w:val="F6D5D29FDC95A94383F5C43CA2B06285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D91E095A975D44088E3904B73F47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CD5E0-D457-A242-8704-F2189C61ED93}"/>
      </w:docPartPr>
      <w:docPartBody>
        <w:p w:rsidR="00000000" w:rsidRDefault="00BA07A5">
          <w:pPr>
            <w:pStyle w:val="4D91E095A975D44088E3904B73F4741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05B1477C0830A469DF77A26A90C9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41E6A-FAB5-E442-A05F-BF5F56A296F4}"/>
      </w:docPartPr>
      <w:docPartBody>
        <w:p w:rsidR="00000000" w:rsidRDefault="00BA07A5">
          <w:pPr>
            <w:pStyle w:val="305B1477C0830A469DF77A26A90C9A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755ADABEB7271409B13CDBD4A518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8925E-A89B-A446-827C-7E9D4B2456B5}"/>
      </w:docPartPr>
      <w:docPartBody>
        <w:p w:rsidR="00000000" w:rsidRDefault="00BA07A5">
          <w:pPr>
            <w:pStyle w:val="C755ADABEB7271409B13CDBD4A51876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5807E6AAA6A046B67AC13A39839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07686-FE10-9543-867B-F7D4F6A62C54}"/>
      </w:docPartPr>
      <w:docPartBody>
        <w:p w:rsidR="00000000" w:rsidRDefault="00BA07A5">
          <w:pPr>
            <w:pStyle w:val="A35807E6AAA6A046B67AC13A3983997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12770B67251A94E8B7057D95C23D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7980E-CEEC-0549-A54F-3C1920878104}"/>
      </w:docPartPr>
      <w:docPartBody>
        <w:p w:rsidR="00000000" w:rsidRDefault="00BA07A5">
          <w:pPr>
            <w:pStyle w:val="E12770B67251A94E8B7057D95C23DBE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3A1E82B648F9F499B30524D82842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A8C6-C44B-5949-8E3D-C4458F76201B}"/>
      </w:docPartPr>
      <w:docPartBody>
        <w:p w:rsidR="00000000" w:rsidRDefault="00BA07A5">
          <w:pPr>
            <w:pStyle w:val="43A1E82B648F9F499B30524D82842A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FBF9080E0B0F8429B4DB1B50D4F5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F0F5-D884-0448-ABED-5713E292D1B0}"/>
      </w:docPartPr>
      <w:docPartBody>
        <w:p w:rsidR="00000000" w:rsidRDefault="00BA07A5">
          <w:pPr>
            <w:pStyle w:val="0FBF9080E0B0F8429B4DB1B50D4F5A7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B1FC5C8522AB4A88A65F5A3595C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61AB8-757E-B744-A869-70C98EB2B8C3}"/>
      </w:docPartPr>
      <w:docPartBody>
        <w:p w:rsidR="00000000" w:rsidRDefault="00BA07A5" w:rsidP="00BA07A5">
          <w:pPr>
            <w:pStyle w:val="2BB1FC5C8522AB4A88A65F5A3595C2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A5"/>
    <w:rsid w:val="00B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7A5"/>
    <w:rPr>
      <w:color w:val="808080"/>
    </w:rPr>
  </w:style>
  <w:style w:type="paragraph" w:customStyle="1" w:styleId="38577AF794609545BEC48CB853357AC7">
    <w:name w:val="38577AF794609545BEC48CB853357AC7"/>
  </w:style>
  <w:style w:type="paragraph" w:customStyle="1" w:styleId="032D23A56A30B945A2C60337A4F86555">
    <w:name w:val="032D23A56A30B945A2C60337A4F86555"/>
  </w:style>
  <w:style w:type="paragraph" w:customStyle="1" w:styleId="9BAF568ED76BDA47BAE3AC5D4D71976F">
    <w:name w:val="9BAF568ED76BDA47BAE3AC5D4D71976F"/>
  </w:style>
  <w:style w:type="paragraph" w:customStyle="1" w:styleId="F6D5D29FDC95A94383F5C43CA2B06285">
    <w:name w:val="F6D5D29FDC95A94383F5C43CA2B06285"/>
  </w:style>
  <w:style w:type="paragraph" w:customStyle="1" w:styleId="4D91E095A975D44088E3904B73F4741C">
    <w:name w:val="4D91E095A975D44088E3904B73F4741C"/>
  </w:style>
  <w:style w:type="paragraph" w:customStyle="1" w:styleId="305B1477C0830A469DF77A26A90C9A38">
    <w:name w:val="305B1477C0830A469DF77A26A90C9A38"/>
  </w:style>
  <w:style w:type="paragraph" w:customStyle="1" w:styleId="C755ADABEB7271409B13CDBD4A518762">
    <w:name w:val="C755ADABEB7271409B13CDBD4A518762"/>
  </w:style>
  <w:style w:type="paragraph" w:customStyle="1" w:styleId="A35807E6AAA6A046B67AC13A3983997C">
    <w:name w:val="A35807E6AAA6A046B67AC13A3983997C"/>
  </w:style>
  <w:style w:type="paragraph" w:customStyle="1" w:styleId="E12770B67251A94E8B7057D95C23DBE0">
    <w:name w:val="E12770B67251A94E8B7057D95C23DBE0"/>
  </w:style>
  <w:style w:type="paragraph" w:customStyle="1" w:styleId="43A1E82B648F9F499B30524D82842A56">
    <w:name w:val="43A1E82B648F9F499B30524D82842A56"/>
  </w:style>
  <w:style w:type="paragraph" w:customStyle="1" w:styleId="0FBF9080E0B0F8429B4DB1B50D4F5A77">
    <w:name w:val="0FBF9080E0B0F8429B4DB1B50D4F5A77"/>
  </w:style>
  <w:style w:type="paragraph" w:customStyle="1" w:styleId="2BB1FC5C8522AB4A88A65F5A3595C21F">
    <w:name w:val="2BB1FC5C8522AB4A88A65F5A3595C21F"/>
    <w:rsid w:val="00BA07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7A5"/>
    <w:rPr>
      <w:color w:val="808080"/>
    </w:rPr>
  </w:style>
  <w:style w:type="paragraph" w:customStyle="1" w:styleId="38577AF794609545BEC48CB853357AC7">
    <w:name w:val="38577AF794609545BEC48CB853357AC7"/>
  </w:style>
  <w:style w:type="paragraph" w:customStyle="1" w:styleId="032D23A56A30B945A2C60337A4F86555">
    <w:name w:val="032D23A56A30B945A2C60337A4F86555"/>
  </w:style>
  <w:style w:type="paragraph" w:customStyle="1" w:styleId="9BAF568ED76BDA47BAE3AC5D4D71976F">
    <w:name w:val="9BAF568ED76BDA47BAE3AC5D4D71976F"/>
  </w:style>
  <w:style w:type="paragraph" w:customStyle="1" w:styleId="F6D5D29FDC95A94383F5C43CA2B06285">
    <w:name w:val="F6D5D29FDC95A94383F5C43CA2B06285"/>
  </w:style>
  <w:style w:type="paragraph" w:customStyle="1" w:styleId="4D91E095A975D44088E3904B73F4741C">
    <w:name w:val="4D91E095A975D44088E3904B73F4741C"/>
  </w:style>
  <w:style w:type="paragraph" w:customStyle="1" w:styleId="305B1477C0830A469DF77A26A90C9A38">
    <w:name w:val="305B1477C0830A469DF77A26A90C9A38"/>
  </w:style>
  <w:style w:type="paragraph" w:customStyle="1" w:styleId="C755ADABEB7271409B13CDBD4A518762">
    <w:name w:val="C755ADABEB7271409B13CDBD4A518762"/>
  </w:style>
  <w:style w:type="paragraph" w:customStyle="1" w:styleId="A35807E6AAA6A046B67AC13A3983997C">
    <w:name w:val="A35807E6AAA6A046B67AC13A3983997C"/>
  </w:style>
  <w:style w:type="paragraph" w:customStyle="1" w:styleId="E12770B67251A94E8B7057D95C23DBE0">
    <w:name w:val="E12770B67251A94E8B7057D95C23DBE0"/>
  </w:style>
  <w:style w:type="paragraph" w:customStyle="1" w:styleId="43A1E82B648F9F499B30524D82842A56">
    <w:name w:val="43A1E82B648F9F499B30524D82842A56"/>
  </w:style>
  <w:style w:type="paragraph" w:customStyle="1" w:styleId="0FBF9080E0B0F8429B4DB1B50D4F5A77">
    <w:name w:val="0FBF9080E0B0F8429B4DB1B50D4F5A77"/>
  </w:style>
  <w:style w:type="paragraph" w:customStyle="1" w:styleId="2BB1FC5C8522AB4A88A65F5A3595C21F">
    <w:name w:val="2BB1FC5C8522AB4A88A65F5A3595C21F"/>
    <w:rsid w:val="00BA0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Sei78</b:Tag>
    <b:SourceType>Book</b:SourceType>
    <b:Guid>{51B6D9ED-7BB0-1648-954E-1141D24D0014}</b:Guid>
    <b:Author>
      <b:Author>
        <b:NameList>
          <b:Person>
            <b:Last>Seidlin</b:Last>
            <b:First>Oskar</b:First>
          </b:Person>
        </b:NameList>
      </b:Author>
    </b:Author>
    <b:Title>Der Theaterkritiker Otto Brahm</b:Title>
    <b:City>Bonn</b:City>
    <b:Publisher>Bouvier</b:Publisher>
    <b:Year>1978</b:Year>
    <b:RefOrder>1</b:RefOrder>
  </b:Source>
</b:Sources>
</file>

<file path=customXml/itemProps1.xml><?xml version="1.0" encoding="utf-8"?>
<ds:datastoreItem xmlns:ds="http://schemas.openxmlformats.org/officeDocument/2006/customXml" ds:itemID="{8BC6BEB6-3AB3-B44B-BF64-47B95AE3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2015-11-10T20:25:00Z</dcterms:created>
  <dcterms:modified xsi:type="dcterms:W3CDTF">2015-11-10T20:30:00Z</dcterms:modified>
</cp:coreProperties>
</file>