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7175867FAA4E3449E5ACA47417C3AB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C2A78BAE6B1C045BD3E7400E795EC69"/>
            </w:placeholder>
            <w:text/>
          </w:sdtPr>
          <w:sdtContent>
            <w:tc>
              <w:tcPr>
                <w:tcW w:w="2073" w:type="dxa"/>
              </w:tcPr>
              <w:p w:rsidR="00B574C9" w:rsidRDefault="007B2DAE" w:rsidP="007B2DAE">
                <w:r>
                  <w:t>Charles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B1A871A4C384F47B11C102485AA9470"/>
            </w:placeholder>
            <w:showingPlcHdr/>
            <w:text/>
          </w:sdtPr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721F31A44B0DF4F961281EB8AB23DAB"/>
            </w:placeholder>
            <w:text/>
          </w:sdtPr>
          <w:sdtContent>
            <w:tc>
              <w:tcPr>
                <w:tcW w:w="2642" w:type="dxa"/>
              </w:tcPr>
              <w:p w:rsidR="00B574C9" w:rsidRDefault="007B2DAE" w:rsidP="007B2DAE">
                <w:r>
                  <w:t>Reeve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8AAB222ABFB184DA3287FB7EB492D8B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664542035791C40B922D142FBAFEEE8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151C31" w:rsidP="00B574C9">
                <w:r w:rsidRPr="00151C31">
                  <w:rPr>
                    <w:rFonts w:eastAsiaTheme="minorEastAsia"/>
                    <w:szCs w:val="24"/>
                    <w:lang w:val="en-CA" w:eastAsia="ja-JP"/>
                  </w:rPr>
                  <w:t>Ontario College of Art and Design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50BA7B17EA04B14D857C16970F1A91E4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567DA3" w:rsidP="003F0D73">
                <w:pPr>
                  <w:rPr>
                    <w:b/>
                  </w:rPr>
                </w:pPr>
                <w:proofErr w:type="spellStart"/>
                <w:r w:rsidRPr="007B2DAE">
                  <w:rPr>
                    <w:rFonts w:eastAsia="ヒラギノ角ゴ Pro W3" w:cs="Times New Roman"/>
                    <w:color w:val="000000"/>
                    <w:szCs w:val="24"/>
                  </w:rPr>
                  <w:t>Brik</w:t>
                </w:r>
                <w:proofErr w:type="spellEnd"/>
                <w:r w:rsidRPr="007B2DAE">
                  <w:rPr>
                    <w:rFonts w:eastAsia="ヒラギノ角ゴ Pro W3" w:cs="Times New Roman"/>
                    <w:color w:val="000000"/>
                    <w:szCs w:val="24"/>
                  </w:rPr>
                  <w:t xml:space="preserve">, </w:t>
                </w:r>
                <w:proofErr w:type="spellStart"/>
                <w:r w:rsidRPr="007B2DAE">
                  <w:rPr>
                    <w:rFonts w:eastAsia="ヒラギノ角ゴ Pro W3" w:cs="Times New Roman"/>
                    <w:color w:val="000000"/>
                    <w:szCs w:val="24"/>
                  </w:rPr>
                  <w:t>Osip</w:t>
                </w:r>
                <w:proofErr w:type="spellEnd"/>
                <w:r w:rsidRPr="007B2DAE">
                  <w:rPr>
                    <w:rFonts w:eastAsia="ヒラギノ角ゴ Pro W3" w:cs="Times New Roman"/>
                    <w:color w:val="000000"/>
                    <w:szCs w:val="24"/>
                  </w:rPr>
                  <w:t xml:space="preserve"> (1888-1945)</w:t>
                </w:r>
              </w:p>
            </w:tc>
          </w:sdtContent>
        </w:sdt>
      </w:tr>
      <w:tr w:rsidR="00464699" w:rsidTr="00567DA3">
        <w:sdt>
          <w:sdtPr>
            <w:alias w:val="Variant headwords"/>
            <w:tag w:val="variantHeadwords"/>
            <w:id w:val="173464402"/>
            <w:placeholder>
              <w:docPart w:val="36C130F03EAB094BA6FBD69905E3BFE3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7305EB5BCD853C43B6A5190ED76BD861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567DA3" w:rsidP="00567DA3">
                <w:pPr>
                  <w:contextualSpacing/>
                </w:pPr>
                <w:proofErr w:type="spellStart"/>
                <w:r>
                  <w:t>Osip</w:t>
                </w:r>
                <w:proofErr w:type="spellEnd"/>
                <w:r>
                  <w:t xml:space="preserve"> </w:t>
                </w:r>
                <w:proofErr w:type="spellStart"/>
                <w:r>
                  <w:t>Maksimovich</w:t>
                </w:r>
                <w:proofErr w:type="spellEnd"/>
                <w:r>
                  <w:t xml:space="preserve"> (</w:t>
                </w:r>
                <w:proofErr w:type="spellStart"/>
                <w:r>
                  <w:t>Meerovich</w:t>
                </w:r>
                <w:proofErr w:type="spellEnd"/>
                <w:r>
                  <w:t xml:space="preserve">) </w:t>
                </w:r>
                <w:proofErr w:type="spellStart"/>
                <w:r>
                  <w:t>Brik</w:t>
                </w:r>
                <w:proofErr w:type="spellEnd"/>
                <w:r>
                  <w:t xml:space="preserve"> (</w:t>
                </w:r>
                <w:proofErr w:type="spellStart"/>
                <w:r>
                  <w:rPr>
                    <w:rStyle w:val="st"/>
                  </w:rPr>
                  <w:t>Осип</w:t>
                </w:r>
                <w:proofErr w:type="spellEnd"/>
                <w:r>
                  <w:rPr>
                    <w:rStyle w:val="st"/>
                  </w:rPr>
                  <w:t xml:space="preserve"> </w:t>
                </w:r>
                <w:proofErr w:type="spellStart"/>
                <w:r>
                  <w:rPr>
                    <w:rStyle w:val="st"/>
                  </w:rPr>
                  <w:t>Максимович</w:t>
                </w:r>
                <w:proofErr w:type="spellEnd"/>
                <w:r>
                  <w:rPr>
                    <w:rStyle w:val="st"/>
                  </w:rPr>
                  <w:t xml:space="preserve"> </w:t>
                </w:r>
                <w:proofErr w:type="spellStart"/>
                <w:r>
                  <w:rPr>
                    <w:rStyle w:val="st"/>
                  </w:rPr>
                  <w:t>Брик</w:t>
                </w:r>
                <w:proofErr w:type="spellEnd"/>
                <w:r>
                  <w:rPr>
                    <w:rStyle w:val="st"/>
                  </w:rPr>
                  <w:t xml:space="preserve">) was a prominent Soviet poet and critic, editor of </w:t>
                </w:r>
                <w:r>
                  <w:rPr>
                    <w:rStyle w:val="st"/>
                    <w:i/>
                  </w:rPr>
                  <w:t>LEF</w:t>
                </w:r>
                <w:r>
                  <w:rPr>
                    <w:rStyle w:val="st"/>
                  </w:rPr>
                  <w:t xml:space="preserve"> and a founding member of OPOYAZ </w:t>
                </w:r>
                <w:r>
                  <w:t>(</w:t>
                </w:r>
                <w:r w:rsidRPr="00910BA3">
                  <w:t>Society for the Study of Poetic Language)</w:t>
                </w:r>
                <w:r>
                  <w:rPr>
                    <w:rStyle w:val="st"/>
                  </w:rPr>
                  <w:t>. His</w:t>
                </w:r>
                <w:r>
                  <w:t xml:space="preserve"> role in Soviet Constructivism and Futurism emerges neatly in Alexander </w:t>
                </w:r>
                <w:proofErr w:type="spellStart"/>
                <w:r>
                  <w:t>Rodchenko’s</w:t>
                </w:r>
                <w:proofErr w:type="spellEnd"/>
                <w:r>
                  <w:t xml:space="preserve"> famous photomontage (fig. 1) of the critic. Replacing the left lens of </w:t>
                </w:r>
                <w:proofErr w:type="spellStart"/>
                <w:r>
                  <w:t>Brik’s</w:t>
                </w:r>
                <w:proofErr w:type="spellEnd"/>
                <w:r>
                  <w:t xml:space="preserve"> glasses with the letters ‘</w:t>
                </w:r>
                <w:r w:rsidRPr="00492539">
                  <w:rPr>
                    <w:rFonts w:eastAsia="Times New Roman"/>
                    <w:bCs/>
                  </w:rPr>
                  <w:t>ЛЕФ</w:t>
                </w:r>
                <w:r>
                  <w:t xml:space="preserve">’ (in reference to </w:t>
                </w:r>
                <w:proofErr w:type="spellStart"/>
                <w:r>
                  <w:t>Левый</w:t>
                </w:r>
                <w:proofErr w:type="spellEnd"/>
                <w:r>
                  <w:t xml:space="preserve"> </w:t>
                </w:r>
                <w:proofErr w:type="spellStart"/>
                <w:r>
                  <w:t>фронт</w:t>
                </w:r>
                <w:proofErr w:type="spellEnd"/>
                <w:r>
                  <w:t xml:space="preserve"> </w:t>
                </w:r>
                <w:proofErr w:type="spellStart"/>
                <w:r>
                  <w:t>искусств</w:t>
                </w:r>
                <w:proofErr w:type="spellEnd"/>
                <w:r>
                  <w:t>, or</w:t>
                </w:r>
                <w:r>
                  <w:rPr>
                    <w:rFonts w:eastAsia="Times New Roman"/>
                    <w:bCs/>
                  </w:rPr>
                  <w:t xml:space="preserve"> </w:t>
                </w:r>
                <w:r>
                  <w:rPr>
                    <w:rFonts w:eastAsia="Times New Roman"/>
                    <w:bCs/>
                    <w:i/>
                  </w:rPr>
                  <w:t>LEF</w:t>
                </w:r>
                <w:r>
                  <w:rPr>
                    <w:rFonts w:eastAsia="Times New Roman"/>
                    <w:bCs/>
                  </w:rPr>
                  <w:t>,</w:t>
                </w:r>
                <w:r>
                  <w:rPr>
                    <w:rFonts w:eastAsia="Times New Roman"/>
                    <w:bCs/>
                    <w:i/>
                  </w:rPr>
                  <w:t xml:space="preserve"> Left Front of the Arts</w:t>
                </w:r>
                <w:r>
                  <w:t xml:space="preserve">, the magazine that </w:t>
                </w:r>
                <w:proofErr w:type="spellStart"/>
                <w:r>
                  <w:t>Brik</w:t>
                </w:r>
                <w:proofErr w:type="spellEnd"/>
                <w:r>
                  <w:t xml:space="preserve"> ran with the poet Vladimir </w:t>
                </w:r>
                <w:proofErr w:type="spellStart"/>
                <w:r>
                  <w:t>Mayakovsky</w:t>
                </w:r>
                <w:proofErr w:type="spellEnd"/>
                <w:r>
                  <w:t xml:space="preserve"> from 1923-25), </w:t>
                </w:r>
                <w:proofErr w:type="spellStart"/>
                <w:r>
                  <w:t>Rodchenko</w:t>
                </w:r>
                <w:proofErr w:type="spellEnd"/>
                <w:r>
                  <w:t xml:space="preserve"> underscores three fundamental elements of </w:t>
                </w:r>
                <w:proofErr w:type="spellStart"/>
                <w:r>
                  <w:t>Brik’s</w:t>
                </w:r>
                <w:proofErr w:type="spellEnd"/>
                <w:r>
                  <w:t xml:space="preserve"> persona: the emphasis on the photograph as construction underscores </w:t>
                </w:r>
                <w:proofErr w:type="spellStart"/>
                <w:r>
                  <w:t>Brik’s</w:t>
                </w:r>
                <w:proofErr w:type="spellEnd"/>
                <w:r>
                  <w:t xml:space="preserve"> interest, following Roman </w:t>
                </w:r>
                <w:proofErr w:type="spellStart"/>
                <w:r>
                  <w:t>Jakobson</w:t>
                </w:r>
                <w:proofErr w:type="spellEnd"/>
                <w:r>
                  <w:t>, in the cultural product’s materiality (</w:t>
                </w:r>
                <w:proofErr w:type="spellStart"/>
                <w:r>
                  <w:t>Fer</w:t>
                </w:r>
                <w:proofErr w:type="spellEnd"/>
                <w:r>
                  <w:t xml:space="preserve"> 124); the image captures </w:t>
                </w:r>
                <w:proofErr w:type="spellStart"/>
                <w:r>
                  <w:t>Brik’s</w:t>
                </w:r>
                <w:proofErr w:type="spellEnd"/>
                <w:r>
                  <w:t xml:space="preserve"> </w:t>
                </w:r>
                <w:r w:rsidRPr="00B84DF0">
                  <w:rPr>
                    <w:rFonts w:ascii="Times New Roman Italic" w:hAnsi="Times New Roman Italic"/>
                    <w:i/>
                  </w:rPr>
                  <w:t>L</w:t>
                </w:r>
                <w:r>
                  <w:rPr>
                    <w:rFonts w:ascii="Times New Roman Italic" w:hAnsi="Times New Roman Italic"/>
                    <w:i/>
                  </w:rPr>
                  <w:t>EF</w:t>
                </w:r>
                <w:r>
                  <w:t xml:space="preserve">-tinted worldview (abandon handicraft for industrial process; eschew genius for </w:t>
                </w:r>
                <w:proofErr w:type="spellStart"/>
                <w:r>
                  <w:t>collectivity</w:t>
                </w:r>
                <w:proofErr w:type="spellEnd"/>
                <w:r>
                  <w:t xml:space="preserve">; forego fiction); and, being known more for </w:t>
                </w:r>
                <w:proofErr w:type="spellStart"/>
                <w:r>
                  <w:t>Rodchenko’s</w:t>
                </w:r>
                <w:proofErr w:type="spellEnd"/>
                <w:r>
                  <w:t xml:space="preserve"> artistry than for </w:t>
                </w:r>
                <w:proofErr w:type="spellStart"/>
                <w:r>
                  <w:t>Brik’s</w:t>
                </w:r>
                <w:proofErr w:type="spellEnd"/>
                <w:r>
                  <w:t xml:space="preserve"> visage, it captures </w:t>
                </w:r>
                <w:proofErr w:type="spellStart"/>
                <w:r>
                  <w:t>Brik’s</w:t>
                </w:r>
                <w:proofErr w:type="spellEnd"/>
                <w:r>
                  <w:t xml:space="preserve"> deference to artists and writers – most notoriously to </w:t>
                </w:r>
                <w:proofErr w:type="spellStart"/>
                <w:r>
                  <w:t>Mayakovsky</w:t>
                </w:r>
                <w:proofErr w:type="spellEnd"/>
                <w:r>
                  <w:t xml:space="preserve">. </w:t>
                </w:r>
                <w:proofErr w:type="spellStart"/>
                <w:r>
                  <w:t>Brik</w:t>
                </w:r>
                <w:proofErr w:type="spellEnd"/>
                <w:r>
                  <w:t xml:space="preserve"> celebrated </w:t>
                </w:r>
                <w:proofErr w:type="spellStart"/>
                <w:r>
                  <w:t>Mayakovsky’s</w:t>
                </w:r>
                <w:proofErr w:type="spellEnd"/>
                <w:r>
                  <w:t xml:space="preserve"> work in his essays and also shared his wife, </w:t>
                </w:r>
                <w:proofErr w:type="spellStart"/>
                <w:r w:rsidRPr="000029D7">
                  <w:rPr>
                    <w:bCs/>
                  </w:rPr>
                  <w:t>Lilya</w:t>
                </w:r>
                <w:proofErr w:type="spellEnd"/>
                <w:r w:rsidRPr="000029D7">
                  <w:rPr>
                    <w:bCs/>
                  </w:rPr>
                  <w:t xml:space="preserve"> </w:t>
                </w:r>
                <w:proofErr w:type="spellStart"/>
                <w:r w:rsidRPr="000029D7">
                  <w:rPr>
                    <w:bCs/>
                  </w:rPr>
                  <w:t>Yuryevna</w:t>
                </w:r>
                <w:proofErr w:type="spellEnd"/>
                <w:r w:rsidRPr="000029D7">
                  <w:rPr>
                    <w:bCs/>
                  </w:rPr>
                  <w:t xml:space="preserve"> </w:t>
                </w:r>
                <w:proofErr w:type="spellStart"/>
                <w:r w:rsidRPr="000029D7">
                  <w:rPr>
                    <w:bCs/>
                  </w:rPr>
                  <w:t>Brik</w:t>
                </w:r>
                <w:proofErr w:type="spellEnd"/>
                <w:r>
                  <w:rPr>
                    <w:bCs/>
                  </w:rPr>
                  <w:t xml:space="preserve">, née </w:t>
                </w:r>
                <w:proofErr w:type="spellStart"/>
                <w:r>
                  <w:rPr>
                    <w:bCs/>
                  </w:rPr>
                  <w:t>Kagan</w:t>
                </w:r>
                <w:proofErr w:type="spellEnd"/>
                <w:r>
                  <w:rPr>
                    <w:bCs/>
                  </w:rPr>
                  <w:t xml:space="preserve">, with whom </w:t>
                </w:r>
                <w:proofErr w:type="spellStart"/>
                <w:r>
                  <w:rPr>
                    <w:bCs/>
                  </w:rPr>
                  <w:t>Brik</w:t>
                </w:r>
                <w:proofErr w:type="spellEnd"/>
                <w:r>
                  <w:rPr>
                    <w:bCs/>
                  </w:rPr>
                  <w:t xml:space="preserve"> had an open marriage,</w:t>
                </w:r>
                <w:r w:rsidDel="00AC0822">
                  <w:t xml:space="preserve"> </w:t>
                </w:r>
                <w:r>
                  <w:t xml:space="preserve">with the poet. The three cohabitated from 1919. Though certain biographical elements of </w:t>
                </w:r>
                <w:proofErr w:type="spellStart"/>
                <w:r>
                  <w:t>Brik’s</w:t>
                </w:r>
                <w:proofErr w:type="spellEnd"/>
                <w:r>
                  <w:t xml:space="preserve"> personal history remain controversial, it is known that </w:t>
                </w:r>
                <w:proofErr w:type="spellStart"/>
                <w:r>
                  <w:t>Brik</w:t>
                </w:r>
                <w:proofErr w:type="spellEnd"/>
                <w:r>
                  <w:t xml:space="preserve"> came from a Moscow merchant family, studied law and, with his wife, worked for the </w:t>
                </w:r>
                <w:proofErr w:type="spellStart"/>
                <w:r>
                  <w:t>Cheka</w:t>
                </w:r>
                <w:proofErr w:type="spellEnd"/>
                <w:r>
                  <w:t xml:space="preserve"> (the All-Russian Extraordinary Commission for Combating Counter-Revolution, </w:t>
                </w:r>
                <w:r w:rsidRPr="00FB5865">
                  <w:t>Profiteering</w:t>
                </w:r>
                <w:r>
                  <w:t xml:space="preserve"> and </w:t>
                </w:r>
                <w:r w:rsidRPr="00FB5865">
                  <w:t>Corruption</w:t>
                </w:r>
                <w:r>
                  <w:t>), a forerunner of the KGB, for at least part of the 1920s (</w:t>
                </w:r>
                <w:proofErr w:type="spellStart"/>
                <w:r>
                  <w:t>Kurchanova</w:t>
                </w:r>
                <w:proofErr w:type="spellEnd"/>
                <w:r>
                  <w:t xml:space="preserve"> 54). After </w:t>
                </w:r>
                <w:r w:rsidRPr="00B84DF0">
                  <w:rPr>
                    <w:rFonts w:ascii="Times New Roman Italic" w:hAnsi="Times New Roman Italic"/>
                    <w:i/>
                  </w:rPr>
                  <w:t>L</w:t>
                </w:r>
                <w:r>
                  <w:rPr>
                    <w:rFonts w:ascii="Times New Roman Italic" w:hAnsi="Times New Roman Italic"/>
                    <w:i/>
                  </w:rPr>
                  <w:t>EF</w:t>
                </w:r>
                <w:r>
                  <w:rPr>
                    <w:rFonts w:ascii="Times New Roman Italic" w:hAnsi="Times New Roman Italic"/>
                  </w:rPr>
                  <w:t>,</w:t>
                </w:r>
                <w:r>
                  <w:t xml:space="preserve"> </w:t>
                </w:r>
                <w:proofErr w:type="spellStart"/>
                <w:r>
                  <w:t>Brik</w:t>
                </w:r>
                <w:proofErr w:type="spellEnd"/>
                <w:r>
                  <w:t xml:space="preserve"> became involved with</w:t>
                </w:r>
                <w:r w:rsidRPr="00B84DF0">
                  <w:rPr>
                    <w:rFonts w:ascii="Times New Roman Italic" w:hAnsi="Times New Roman Italic"/>
                    <w:i/>
                  </w:rPr>
                  <w:t xml:space="preserve"> </w:t>
                </w:r>
                <w:proofErr w:type="spellStart"/>
                <w:r w:rsidRPr="00B84DF0">
                  <w:rPr>
                    <w:rFonts w:ascii="Times New Roman Italic" w:hAnsi="Times New Roman Italic"/>
                    <w:i/>
                  </w:rPr>
                  <w:t>Novyi</w:t>
                </w:r>
                <w:proofErr w:type="spellEnd"/>
                <w:r w:rsidRPr="00B84DF0">
                  <w:rPr>
                    <w:rFonts w:ascii="Times New Roman Italic" w:hAnsi="Times New Roman Italic"/>
                    <w:i/>
                  </w:rPr>
                  <w:t xml:space="preserve"> L</w:t>
                </w:r>
                <w:r>
                  <w:rPr>
                    <w:rFonts w:ascii="Times New Roman Italic" w:hAnsi="Times New Roman Italic"/>
                    <w:i/>
                  </w:rPr>
                  <w:t>EF</w:t>
                </w:r>
                <w:r>
                  <w:t xml:space="preserve"> (1927–28; ‘New LEF’), though not as an editor, directed </w:t>
                </w:r>
                <w:proofErr w:type="spellStart"/>
                <w:r>
                  <w:t>INKhUK</w:t>
                </w:r>
                <w:proofErr w:type="spellEnd"/>
                <w:r>
                  <w:t xml:space="preserve"> (the Institute of Artistic Culture) and helped organise </w:t>
                </w:r>
                <w:proofErr w:type="spellStart"/>
                <w:r>
                  <w:t>VKhUTEMAS</w:t>
                </w:r>
                <w:proofErr w:type="spellEnd"/>
                <w:r>
                  <w:t xml:space="preserve"> (The All-State Artistic-Technical Workshops). He consistently emphasised the importance of the cultural product’s materiality, but shifted from supporting artistic freedom to arguing that art must serve the state (</w:t>
                </w:r>
                <w:proofErr w:type="spellStart"/>
                <w:r>
                  <w:t>Kurchanova</w:t>
                </w:r>
                <w:proofErr w:type="spellEnd"/>
                <w:r>
                  <w:t xml:space="preserve"> 73).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EB327C745EA3FB499A0C7814BCC6DA65"/>
            </w:placeholder>
          </w:sdtPr>
          <w:sdtEndPr>
            <w:rPr>
              <w:b/>
              <w:color w:val="385623" w:themeColor="accent6" w:themeShade="80"/>
            </w:rPr>
          </w:sdtEndPr>
          <w:sdtContent>
            <w:sdt>
              <w:sdtPr>
                <w:alias w:val="Abstract"/>
                <w:tag w:val="abstract"/>
                <w:id w:val="1693027962"/>
                <w:placeholder>
                  <w:docPart w:val="E31131F7599BB44FA58876A882E0370C"/>
                </w:placeholder>
              </w:sdtPr>
              <w:sdtEndPr>
                <w:rPr>
                  <w:b/>
                  <w:color w:val="385623" w:themeColor="accent6" w:themeShade="80"/>
                </w:rPr>
              </w:sdtEndPr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:rsidR="007B2DAE" w:rsidRDefault="007B2DAE" w:rsidP="00C27FAB">
                    <w:proofErr w:type="spellStart"/>
                    <w:r>
                      <w:t>Osip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Maksimovich</w:t>
                    </w:r>
                    <w:proofErr w:type="spellEnd"/>
                    <w:r>
                      <w:t xml:space="preserve"> (</w:t>
                    </w:r>
                    <w:proofErr w:type="spellStart"/>
                    <w:r>
                      <w:t>Meerovich</w:t>
                    </w:r>
                    <w:proofErr w:type="spellEnd"/>
                    <w:r>
                      <w:t xml:space="preserve">) </w:t>
                    </w:r>
                    <w:proofErr w:type="spellStart"/>
                    <w:r>
                      <w:t>Brik</w:t>
                    </w:r>
                    <w:proofErr w:type="spellEnd"/>
                    <w:r>
                      <w:t xml:space="preserve"> (</w:t>
                    </w:r>
                    <w:proofErr w:type="spellStart"/>
                    <w:r>
                      <w:rPr>
                        <w:rStyle w:val="st"/>
                      </w:rPr>
                      <w:t>Осип</w:t>
                    </w:r>
                    <w:proofErr w:type="spellEnd"/>
                    <w:r>
                      <w:rPr>
                        <w:rStyle w:val="st"/>
                      </w:rPr>
                      <w:t xml:space="preserve"> </w:t>
                    </w:r>
                    <w:proofErr w:type="spellStart"/>
                    <w:r>
                      <w:rPr>
                        <w:rStyle w:val="st"/>
                      </w:rPr>
                      <w:t>Максимович</w:t>
                    </w:r>
                    <w:proofErr w:type="spellEnd"/>
                    <w:r>
                      <w:rPr>
                        <w:rStyle w:val="st"/>
                      </w:rPr>
                      <w:t xml:space="preserve"> </w:t>
                    </w:r>
                    <w:proofErr w:type="spellStart"/>
                    <w:r>
                      <w:rPr>
                        <w:rStyle w:val="st"/>
                      </w:rPr>
                      <w:t>Брик</w:t>
                    </w:r>
                    <w:proofErr w:type="spellEnd"/>
                    <w:r>
                      <w:rPr>
                        <w:rStyle w:val="st"/>
                      </w:rPr>
                      <w:t xml:space="preserve">) was a prominent Soviet poet and critic, editor of </w:t>
                    </w:r>
                    <w:r>
                      <w:rPr>
                        <w:rStyle w:val="st"/>
                        <w:i/>
                      </w:rPr>
                      <w:t>LEF</w:t>
                    </w:r>
                    <w:r>
                      <w:rPr>
                        <w:rStyle w:val="st"/>
                      </w:rPr>
                      <w:t xml:space="preserve"> and a founding member of OPOYAZ </w:t>
                    </w:r>
                    <w:r>
                      <w:t>(</w:t>
                    </w:r>
                    <w:r w:rsidRPr="00910BA3">
                      <w:t>Society for the Study of Poetic Language)</w:t>
                    </w:r>
                    <w:r>
                      <w:rPr>
                        <w:rStyle w:val="st"/>
                      </w:rPr>
                      <w:t>. His</w:t>
                    </w:r>
                    <w:r>
                      <w:t xml:space="preserve"> role in Soviet Constructivism and Futurism emerges neatly in Alexander </w:t>
                    </w:r>
                    <w:proofErr w:type="spellStart"/>
                    <w:r>
                      <w:t>Rodchenko’s</w:t>
                    </w:r>
                    <w:proofErr w:type="spellEnd"/>
                    <w:r>
                      <w:t xml:space="preserve"> famous photomontage (fig. 1) of the critic. Replacing the left lens of </w:t>
                    </w:r>
                    <w:proofErr w:type="spellStart"/>
                    <w:r>
                      <w:t>Brik’s</w:t>
                    </w:r>
                    <w:proofErr w:type="spellEnd"/>
                    <w:r>
                      <w:t xml:space="preserve"> glasses with the letters ‘</w:t>
                    </w:r>
                    <w:r w:rsidRPr="00492539">
                      <w:rPr>
                        <w:rFonts w:eastAsia="Times New Roman"/>
                        <w:bCs/>
                      </w:rPr>
                      <w:t>ЛЕФ</w:t>
                    </w:r>
                    <w:r>
                      <w:t xml:space="preserve">’ (in reference to </w:t>
                    </w:r>
                    <w:proofErr w:type="spellStart"/>
                    <w:r>
                      <w:t>Левый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фронт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искусств</w:t>
                    </w:r>
                    <w:proofErr w:type="spellEnd"/>
                    <w:r>
                      <w:t>, or</w:t>
                    </w:r>
                    <w:r>
                      <w:rPr>
                        <w:rFonts w:eastAsia="Times New Roman"/>
                        <w:bCs/>
                      </w:rPr>
                      <w:t xml:space="preserve"> </w:t>
                    </w:r>
                    <w:r>
                      <w:rPr>
                        <w:rFonts w:eastAsia="Times New Roman"/>
                        <w:bCs/>
                        <w:i/>
                      </w:rPr>
                      <w:t>LEF</w:t>
                    </w:r>
                    <w:r>
                      <w:rPr>
                        <w:rFonts w:eastAsia="Times New Roman"/>
                        <w:bCs/>
                      </w:rPr>
                      <w:t>,</w:t>
                    </w:r>
                    <w:r>
                      <w:rPr>
                        <w:rFonts w:eastAsia="Times New Roman"/>
                        <w:bCs/>
                        <w:i/>
                      </w:rPr>
                      <w:t xml:space="preserve"> Left Front of the Arts</w:t>
                    </w:r>
                    <w:r>
                      <w:t xml:space="preserve">, the magazine that </w:t>
                    </w:r>
                    <w:proofErr w:type="spellStart"/>
                    <w:r>
                      <w:t>Brik</w:t>
                    </w:r>
                    <w:proofErr w:type="spellEnd"/>
                    <w:r>
                      <w:t xml:space="preserve"> ran with the poet Vladimir </w:t>
                    </w:r>
                    <w:proofErr w:type="spellStart"/>
                    <w:r>
                      <w:t>Mayakovsky</w:t>
                    </w:r>
                    <w:proofErr w:type="spellEnd"/>
                    <w:r>
                      <w:t xml:space="preserve"> from 1923-25), </w:t>
                    </w:r>
                    <w:proofErr w:type="spellStart"/>
                    <w:r>
                      <w:t>Rodchenko</w:t>
                    </w:r>
                    <w:proofErr w:type="spellEnd"/>
                    <w:r>
                      <w:t xml:space="preserve"> underscores three fundamental elements of </w:t>
                    </w:r>
                    <w:proofErr w:type="spellStart"/>
                    <w:r>
                      <w:t>Brik’s</w:t>
                    </w:r>
                    <w:proofErr w:type="spellEnd"/>
                    <w:r>
                      <w:t xml:space="preserve"> persona: the emphasis on the photograph as construction underscores </w:t>
                    </w:r>
                    <w:proofErr w:type="spellStart"/>
                    <w:r>
                      <w:t>Brik’s</w:t>
                    </w:r>
                    <w:proofErr w:type="spellEnd"/>
                    <w:r>
                      <w:t xml:space="preserve"> interest, following Roman </w:t>
                    </w:r>
                    <w:proofErr w:type="spellStart"/>
                    <w:r>
                      <w:t>Jakobson</w:t>
                    </w:r>
                    <w:proofErr w:type="spellEnd"/>
                    <w:r>
                      <w:t>, in the cultural product’s materiality (</w:t>
                    </w:r>
                    <w:proofErr w:type="spellStart"/>
                    <w:r>
                      <w:t>Fer</w:t>
                    </w:r>
                    <w:proofErr w:type="spellEnd"/>
                    <w:r>
                      <w:t xml:space="preserve"> 124); the image captures </w:t>
                    </w:r>
                    <w:proofErr w:type="spellStart"/>
                    <w:r>
                      <w:t>Brik’s</w:t>
                    </w:r>
                    <w:proofErr w:type="spellEnd"/>
                    <w:r>
                      <w:t xml:space="preserve"> </w:t>
                    </w:r>
                    <w:r w:rsidRPr="00B84DF0">
                      <w:rPr>
                        <w:rFonts w:ascii="Times New Roman Italic" w:hAnsi="Times New Roman Italic"/>
                        <w:i/>
                      </w:rPr>
                      <w:t>L</w:t>
                    </w:r>
                    <w:r>
                      <w:rPr>
                        <w:rFonts w:ascii="Times New Roman Italic" w:hAnsi="Times New Roman Italic"/>
                        <w:i/>
                      </w:rPr>
                      <w:t>EF</w:t>
                    </w:r>
                    <w:r>
                      <w:t xml:space="preserve">-tinted worldview (abandon handicraft for industrial process; eschew genius for </w:t>
                    </w:r>
                    <w:proofErr w:type="spellStart"/>
                    <w:r>
                      <w:t>collectivity</w:t>
                    </w:r>
                    <w:proofErr w:type="spellEnd"/>
                    <w:r>
                      <w:t xml:space="preserve">; forego fiction); and, being known more for </w:t>
                    </w:r>
                    <w:proofErr w:type="spellStart"/>
                    <w:r>
                      <w:t>Rodchenko’s</w:t>
                    </w:r>
                    <w:proofErr w:type="spellEnd"/>
                    <w:r>
                      <w:t xml:space="preserve"> artistry than for </w:t>
                    </w:r>
                    <w:proofErr w:type="spellStart"/>
                    <w:r>
                      <w:t>Brik’s</w:t>
                    </w:r>
                    <w:proofErr w:type="spellEnd"/>
                    <w:r>
                      <w:t xml:space="preserve"> visage, it captures </w:t>
                    </w:r>
                    <w:proofErr w:type="spellStart"/>
                    <w:r>
                      <w:t>Brik’s</w:t>
                    </w:r>
                    <w:proofErr w:type="spellEnd"/>
                    <w:r>
                      <w:t xml:space="preserve"> deference to artists and writers – most notoriously to </w:t>
                    </w:r>
                    <w:proofErr w:type="spellStart"/>
                    <w:r>
                      <w:t>Mayakovsky</w:t>
                    </w:r>
                    <w:proofErr w:type="spellEnd"/>
                    <w:r>
                      <w:t xml:space="preserve">. </w:t>
                    </w:r>
                    <w:proofErr w:type="spellStart"/>
                    <w:r>
                      <w:t>Brik</w:t>
                    </w:r>
                    <w:proofErr w:type="spellEnd"/>
                    <w:r>
                      <w:t xml:space="preserve"> celebrated </w:t>
                    </w:r>
                    <w:proofErr w:type="spellStart"/>
                    <w:r>
                      <w:t>Mayakovsky’s</w:t>
                    </w:r>
                    <w:proofErr w:type="spellEnd"/>
                    <w:r>
                      <w:t xml:space="preserve"> work in his essays and also shared his wife, </w:t>
                    </w:r>
                    <w:proofErr w:type="spellStart"/>
                    <w:r w:rsidRPr="000029D7">
                      <w:rPr>
                        <w:bCs/>
                      </w:rPr>
                      <w:t>Lilya</w:t>
                    </w:r>
                    <w:proofErr w:type="spellEnd"/>
                    <w:r w:rsidRPr="000029D7">
                      <w:rPr>
                        <w:bCs/>
                      </w:rPr>
                      <w:t xml:space="preserve"> </w:t>
                    </w:r>
                    <w:proofErr w:type="spellStart"/>
                    <w:r w:rsidRPr="000029D7">
                      <w:rPr>
                        <w:bCs/>
                      </w:rPr>
                      <w:t>Yuryevna</w:t>
                    </w:r>
                    <w:proofErr w:type="spellEnd"/>
                    <w:r w:rsidRPr="000029D7">
                      <w:rPr>
                        <w:bCs/>
                      </w:rPr>
                      <w:t xml:space="preserve"> </w:t>
                    </w:r>
                    <w:proofErr w:type="spellStart"/>
                    <w:r w:rsidRPr="000029D7">
                      <w:rPr>
                        <w:bCs/>
                      </w:rPr>
                      <w:t>Brik</w:t>
                    </w:r>
                    <w:proofErr w:type="spellEnd"/>
                    <w:r>
                      <w:rPr>
                        <w:bCs/>
                      </w:rPr>
                      <w:t xml:space="preserve">, née </w:t>
                    </w:r>
                    <w:proofErr w:type="spellStart"/>
                    <w:r>
                      <w:rPr>
                        <w:bCs/>
                      </w:rPr>
                      <w:lastRenderedPageBreak/>
                      <w:t>Kagan</w:t>
                    </w:r>
                    <w:proofErr w:type="spellEnd"/>
                    <w:r>
                      <w:rPr>
                        <w:bCs/>
                      </w:rPr>
                      <w:t xml:space="preserve">, with whom </w:t>
                    </w:r>
                    <w:proofErr w:type="spellStart"/>
                    <w:r>
                      <w:rPr>
                        <w:bCs/>
                      </w:rPr>
                      <w:t>Brik</w:t>
                    </w:r>
                    <w:proofErr w:type="spellEnd"/>
                    <w:r>
                      <w:rPr>
                        <w:bCs/>
                      </w:rPr>
                      <w:t xml:space="preserve"> had an open marriage,</w:t>
                    </w:r>
                    <w:r w:rsidDel="00AC0822">
                      <w:t xml:space="preserve"> </w:t>
                    </w:r>
                    <w:r>
                      <w:t xml:space="preserve">with the poet. The three cohabitated from 1919. Though certain biographical elements of </w:t>
                    </w:r>
                    <w:proofErr w:type="spellStart"/>
                    <w:r>
                      <w:t>Brik’s</w:t>
                    </w:r>
                    <w:proofErr w:type="spellEnd"/>
                    <w:r>
                      <w:t xml:space="preserve"> personal history remain controversial, it is known that </w:t>
                    </w:r>
                    <w:proofErr w:type="spellStart"/>
                    <w:r>
                      <w:t>Brik</w:t>
                    </w:r>
                    <w:proofErr w:type="spellEnd"/>
                    <w:r>
                      <w:t xml:space="preserve"> came from a Moscow merchant family, studied law and, with his wife, worked for the </w:t>
                    </w:r>
                    <w:proofErr w:type="spellStart"/>
                    <w:r>
                      <w:t>Cheka</w:t>
                    </w:r>
                    <w:proofErr w:type="spellEnd"/>
                    <w:r>
                      <w:t xml:space="preserve"> (the All-Russian Extraordinary Commission for Combating Counter-Revolution, </w:t>
                    </w:r>
                    <w:r w:rsidRPr="00FB5865">
                      <w:t>Profiteering</w:t>
                    </w:r>
                    <w:r>
                      <w:t xml:space="preserve"> and </w:t>
                    </w:r>
                    <w:r w:rsidRPr="00FB5865">
                      <w:t>Corruption</w:t>
                    </w:r>
                    <w:r>
                      <w:t>), a forerunner of the KGB, for at least part of the 1920s (</w:t>
                    </w:r>
                    <w:proofErr w:type="spellStart"/>
                    <w:r>
                      <w:t>Kurchanova</w:t>
                    </w:r>
                    <w:proofErr w:type="spellEnd"/>
                    <w:r>
                      <w:t xml:space="preserve"> 54). After </w:t>
                    </w:r>
                    <w:r w:rsidRPr="00B84DF0">
                      <w:rPr>
                        <w:rFonts w:ascii="Times New Roman Italic" w:hAnsi="Times New Roman Italic"/>
                        <w:i/>
                      </w:rPr>
                      <w:t>L</w:t>
                    </w:r>
                    <w:r>
                      <w:rPr>
                        <w:rFonts w:ascii="Times New Roman Italic" w:hAnsi="Times New Roman Italic"/>
                        <w:i/>
                      </w:rPr>
                      <w:t>EF</w:t>
                    </w:r>
                    <w:r>
                      <w:rPr>
                        <w:rFonts w:ascii="Times New Roman Italic" w:hAnsi="Times New Roman Italic"/>
                      </w:rPr>
                      <w:t>,</w:t>
                    </w:r>
                    <w:r>
                      <w:t xml:space="preserve"> </w:t>
                    </w:r>
                    <w:proofErr w:type="spellStart"/>
                    <w:r>
                      <w:t>Brik</w:t>
                    </w:r>
                    <w:proofErr w:type="spellEnd"/>
                    <w:r>
                      <w:t xml:space="preserve"> became involved with</w:t>
                    </w:r>
                    <w:r w:rsidRPr="00B84DF0">
                      <w:rPr>
                        <w:rFonts w:ascii="Times New Roman Italic" w:hAnsi="Times New Roman Italic"/>
                        <w:i/>
                      </w:rPr>
                      <w:t xml:space="preserve"> </w:t>
                    </w:r>
                    <w:proofErr w:type="spellStart"/>
                    <w:r w:rsidRPr="00B84DF0">
                      <w:rPr>
                        <w:rFonts w:ascii="Times New Roman Italic" w:hAnsi="Times New Roman Italic"/>
                        <w:i/>
                      </w:rPr>
                      <w:t>Novyi</w:t>
                    </w:r>
                    <w:proofErr w:type="spellEnd"/>
                    <w:r w:rsidRPr="00B84DF0">
                      <w:rPr>
                        <w:rFonts w:ascii="Times New Roman Italic" w:hAnsi="Times New Roman Italic"/>
                        <w:i/>
                      </w:rPr>
                      <w:t xml:space="preserve"> L</w:t>
                    </w:r>
                    <w:r>
                      <w:rPr>
                        <w:rFonts w:ascii="Times New Roman Italic" w:hAnsi="Times New Roman Italic"/>
                        <w:i/>
                      </w:rPr>
                      <w:t>EF</w:t>
                    </w:r>
                    <w:r>
                      <w:t xml:space="preserve"> (1927–28; ‘New LEF’), though not as an editor, directed </w:t>
                    </w:r>
                    <w:proofErr w:type="spellStart"/>
                    <w:r>
                      <w:t>INKhUK</w:t>
                    </w:r>
                    <w:proofErr w:type="spellEnd"/>
                    <w:r>
                      <w:t xml:space="preserve"> (the Institute of Artistic Culture) and helped organise </w:t>
                    </w:r>
                    <w:proofErr w:type="spellStart"/>
                    <w:r>
                      <w:t>VKhUTEMAS</w:t>
                    </w:r>
                    <w:proofErr w:type="spellEnd"/>
                    <w:r>
                      <w:t xml:space="preserve"> (The All-State Artistic-Technical Workshops). He consistently emphasised the importance of the cultural product’s materiality, but shifted from supporting artistic freedom to arguing that art must serve the state (</w:t>
                    </w:r>
                    <w:proofErr w:type="spellStart"/>
                    <w:r>
                      <w:t>Kurchanova</w:t>
                    </w:r>
                    <w:proofErr w:type="spellEnd"/>
                    <w:r>
                      <w:t xml:space="preserve"> 73).</w:t>
                    </w:r>
                  </w:p>
                  <w:p w:rsidR="007B2DAE" w:rsidRDefault="007B2DAE" w:rsidP="00C27FAB"/>
                  <w:p w:rsidR="007B2DAE" w:rsidRPr="007B2DAE" w:rsidRDefault="007B2DAE" w:rsidP="007B2DAE">
                    <w:pPr>
                      <w:pStyle w:val="Authornote"/>
                    </w:pPr>
                    <w:r w:rsidRPr="007B2DAE">
                      <w:t>List of works</w:t>
                    </w:r>
                  </w:p>
                  <w:p w:rsidR="007B2DAE" w:rsidRPr="007B2DAE" w:rsidRDefault="007B2DAE" w:rsidP="007B2DAE">
                    <w:pPr>
                      <w:pStyle w:val="Authornote"/>
                    </w:pPr>
                    <w:commentRangeStart w:id="0"/>
                    <w:r w:rsidRPr="007B2DAE">
                      <w:t xml:space="preserve">To date, there is no volume of </w:t>
                    </w:r>
                    <w:proofErr w:type="spellStart"/>
                    <w:r w:rsidRPr="007B2DAE">
                      <w:t>Brik’s</w:t>
                    </w:r>
                    <w:proofErr w:type="spellEnd"/>
                    <w:r w:rsidRPr="007B2DAE">
                      <w:t xml:space="preserve"> writings in translation. However, below are some useful resources for anyone seeking an introduction to </w:t>
                    </w:r>
                    <w:proofErr w:type="spellStart"/>
                    <w:r w:rsidRPr="007B2DAE">
                      <w:t>Brik’s</w:t>
                    </w:r>
                    <w:proofErr w:type="spellEnd"/>
                    <w:r w:rsidRPr="007B2DAE">
                      <w:t xml:space="preserve"> criticism and political writings. </w:t>
                    </w:r>
                    <w:commentRangeEnd w:id="0"/>
                    <w:r>
                      <w:rPr>
                        <w:rStyle w:val="CommentReference"/>
                        <w:b w:val="0"/>
                        <w:color w:val="auto"/>
                      </w:rPr>
                      <w:commentReference w:id="0"/>
                    </w:r>
                  </w:p>
                  <w:p w:rsidR="007B2DAE" w:rsidRPr="007B2DAE" w:rsidRDefault="007B2DAE" w:rsidP="007B2DAE">
                    <w:pPr>
                      <w:pStyle w:val="Authornote"/>
                    </w:pPr>
                    <w:proofErr w:type="spellStart"/>
                    <w:r w:rsidRPr="007B2DAE">
                      <w:t>Brik</w:t>
                    </w:r>
                    <w:proofErr w:type="spellEnd"/>
                    <w:r w:rsidRPr="007B2DAE">
                      <w:t xml:space="preserve">, O. (1971) ‘Translation from </w:t>
                    </w:r>
                    <w:proofErr w:type="spellStart"/>
                    <w:r w:rsidRPr="007B2DAE">
                      <w:rPr>
                        <w:i/>
                      </w:rPr>
                      <w:t>lef</w:t>
                    </w:r>
                    <w:proofErr w:type="spellEnd"/>
                    <w:r w:rsidRPr="007B2DAE">
                      <w:t xml:space="preserve"> with an Introduction’,</w:t>
                    </w:r>
                    <w:r w:rsidRPr="007B2DAE" w:rsidDel="008B06CB">
                      <w:t xml:space="preserve"> </w:t>
                    </w:r>
                    <w:r w:rsidRPr="007B2DAE">
                      <w:t>trans.</w:t>
                    </w:r>
                    <w:r w:rsidRPr="007B2DAE" w:rsidDel="008B06CB">
                      <w:t xml:space="preserve"> </w:t>
                    </w:r>
                    <w:r w:rsidRPr="007B2DAE">
                      <w:t xml:space="preserve">R. Sherwood, </w:t>
                    </w:r>
                    <w:r w:rsidRPr="007B2DAE">
                      <w:rPr>
                        <w:i/>
                      </w:rPr>
                      <w:t>Screen</w:t>
                    </w:r>
                    <w:r w:rsidRPr="007B2DAE">
                      <w:t xml:space="preserve"> 12 (4): 25-58.</w:t>
                    </w:r>
                  </w:p>
                  <w:p w:rsidR="007B2DAE" w:rsidRPr="007B2DAE" w:rsidRDefault="007B2DAE" w:rsidP="007B2DAE">
                    <w:pPr>
                      <w:pStyle w:val="Authornote"/>
                    </w:pPr>
                    <w:r w:rsidRPr="007B2DAE">
                      <w:t xml:space="preserve">------ (1989) ‘The Photograph versus the Painting’, trans. J. E. </w:t>
                    </w:r>
                    <w:proofErr w:type="spellStart"/>
                    <w:r w:rsidRPr="007B2DAE">
                      <w:t>Bowlt</w:t>
                    </w:r>
                    <w:proofErr w:type="spellEnd"/>
                    <w:r w:rsidRPr="007B2DAE">
                      <w:t xml:space="preserve"> in C. Phillips (ed.) </w:t>
                    </w:r>
                    <w:r w:rsidRPr="007B2DAE">
                      <w:rPr>
                        <w:i/>
                      </w:rPr>
                      <w:t>Photography in the Modern Era: Documents and Critical Writings, 1913-1940</w:t>
                    </w:r>
                    <w:r w:rsidRPr="007B2DAE">
                      <w:t>, New York: The Metropolitan Museum of Art/Aperture,</w:t>
                    </w:r>
                    <w:r w:rsidRPr="007B2DAE" w:rsidDel="008B06CB">
                      <w:t xml:space="preserve"> </w:t>
                    </w:r>
                    <w:r w:rsidRPr="007B2DAE">
                      <w:t>213-218.</w:t>
                    </w:r>
                  </w:p>
                  <w:p w:rsidR="007B2DAE" w:rsidRPr="007B2DAE" w:rsidRDefault="007B2DAE" w:rsidP="007B2DAE">
                    <w:pPr>
                      <w:pStyle w:val="Authornote"/>
                    </w:pPr>
                    <w:r w:rsidRPr="007B2DAE">
                      <w:t xml:space="preserve"> ------ (1989) ‘What the Eye Does Not See’, trans. J. E. </w:t>
                    </w:r>
                    <w:proofErr w:type="spellStart"/>
                    <w:r w:rsidRPr="007B2DAE">
                      <w:t>Bowlt</w:t>
                    </w:r>
                    <w:proofErr w:type="spellEnd"/>
                    <w:r w:rsidRPr="007B2DAE">
                      <w:t xml:space="preserve"> in </w:t>
                    </w:r>
                    <w:r w:rsidRPr="007B2DAE">
                      <w:rPr>
                        <w:i/>
                      </w:rPr>
                      <w:t>Photography in the Modern Era: Documents and Critical Writings, 1913-1940</w:t>
                    </w:r>
                    <w:r w:rsidRPr="007B2DAE">
                      <w:t>,</w:t>
                    </w:r>
                    <w:r w:rsidRPr="007B2DAE" w:rsidDel="008B06CB">
                      <w:t xml:space="preserve"> </w:t>
                    </w:r>
                    <w:r w:rsidRPr="007B2DAE">
                      <w:t>219-220</w:t>
                    </w:r>
                    <w:r w:rsidRPr="007B2DAE" w:rsidDel="008B06CB">
                      <w:t xml:space="preserve"> </w:t>
                    </w:r>
                  </w:p>
                  <w:p w:rsidR="007B2DAE" w:rsidRPr="007B2DAE" w:rsidRDefault="007B2DAE" w:rsidP="007B2DAE">
                    <w:pPr>
                      <w:pStyle w:val="Authornote"/>
                    </w:pPr>
                    <w:r w:rsidRPr="007B2DAE">
                      <w:t xml:space="preserve">------ (1989) ‘From the Painting to the Photograph’, trans. J. E. </w:t>
                    </w:r>
                    <w:proofErr w:type="spellStart"/>
                    <w:r w:rsidRPr="007B2DAE">
                      <w:t>Bowlt</w:t>
                    </w:r>
                    <w:proofErr w:type="spellEnd"/>
                    <w:r w:rsidRPr="007B2DAE">
                      <w:t xml:space="preserve"> in </w:t>
                    </w:r>
                    <w:r w:rsidRPr="007B2DAE">
                      <w:rPr>
                        <w:i/>
                      </w:rPr>
                      <w:t>Photography in the Modern Era: Documents and Critical Writings, 1913-1940</w:t>
                    </w:r>
                    <w:r w:rsidRPr="007B2DAE">
                      <w:t>,</w:t>
                    </w:r>
                    <w:r w:rsidRPr="007B2DAE" w:rsidDel="008B06CB">
                      <w:t xml:space="preserve"> </w:t>
                    </w:r>
                    <w:r w:rsidRPr="007B2DAE">
                      <w:t>2227-233</w:t>
                    </w:r>
                    <w:r w:rsidRPr="007B2DAE" w:rsidDel="008B06CB">
                      <w:t xml:space="preserve"> </w:t>
                    </w:r>
                  </w:p>
                  <w:p w:rsidR="007B2DAE" w:rsidRPr="007B2DAE" w:rsidRDefault="007B2DAE" w:rsidP="007B2DAE">
                    <w:pPr>
                      <w:pStyle w:val="Authornote"/>
                    </w:pPr>
                    <w:r w:rsidRPr="007B2DAE">
                      <w:t xml:space="preserve">------ (2010) ‘Selected Criticism, 1915-1929’, trans. N. </w:t>
                    </w:r>
                    <w:proofErr w:type="spellStart"/>
                    <w:r w:rsidRPr="007B2DAE">
                      <w:t>Kuchanova</w:t>
                    </w:r>
                    <w:proofErr w:type="spellEnd"/>
                    <w:r w:rsidRPr="007B2DAE">
                      <w:t xml:space="preserve">, </w:t>
                    </w:r>
                    <w:r w:rsidRPr="007B2DAE">
                      <w:rPr>
                        <w:i/>
                      </w:rPr>
                      <w:t>October</w:t>
                    </w:r>
                    <w:r w:rsidRPr="007B2DAE">
                      <w:t xml:space="preserve"> 134: 74-110.</w:t>
                    </w:r>
                  </w:p>
                  <w:p w:rsidR="003F0D73" w:rsidRDefault="007B2DAE" w:rsidP="007B2DAE">
                    <w:pPr>
                      <w:pStyle w:val="Authornote"/>
                    </w:pPr>
                    <w:r w:rsidRPr="007B2DAE">
                      <w:t xml:space="preserve">Phillips, C. (ed.) (1989) </w:t>
                    </w:r>
                    <w:r w:rsidRPr="007B2DAE">
                      <w:rPr>
                        <w:i/>
                      </w:rPr>
                      <w:t>Photography in the Modern Era: Documents and Critical Writings, 1913-1940</w:t>
                    </w:r>
                    <w:r w:rsidRPr="007B2DAE">
                      <w:t>, New York: The Metropolitan Museum of Art/Aperture.</w:t>
                    </w:r>
                  </w:p>
                </w:tc>
              </w:sdtContent>
            </w:sdt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FA5D556805DFE42B068542AAE9C6F10"/>
              </w:placeholder>
            </w:sdtPr>
            <w:sdtContent>
              <w:p w:rsidR="007B2DAE" w:rsidRDefault="007B2DAE" w:rsidP="007B2DAE"/>
              <w:p w:rsidR="007B2DAE" w:rsidRDefault="007B2DAE" w:rsidP="007B2DAE">
                <w:sdt>
                  <w:sdtPr>
                    <w:id w:val="166960275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Enz74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(Enzensberger)</w:t>
                    </w:r>
                    <w:r>
                      <w:fldChar w:fldCharType="end"/>
                    </w:r>
                  </w:sdtContent>
                </w:sdt>
              </w:p>
              <w:p w:rsidR="007B2DAE" w:rsidRDefault="007B2DAE" w:rsidP="007B2DAE"/>
              <w:p w:rsidR="007B2DAE" w:rsidRDefault="007B2DAE" w:rsidP="007B2DAE">
                <w:sdt>
                  <w:sdtPr>
                    <w:id w:val="165973203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Fer931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(Fer)</w:t>
                    </w:r>
                    <w:r>
                      <w:fldChar w:fldCharType="end"/>
                    </w:r>
                  </w:sdtContent>
                </w:sdt>
              </w:p>
              <w:p w:rsidR="007B2DAE" w:rsidRDefault="007B2DAE" w:rsidP="007B2DAE"/>
              <w:p w:rsidR="007B2DAE" w:rsidRDefault="007B2DAE" w:rsidP="007B2DAE">
                <w:sdt>
                  <w:sdtPr>
                    <w:id w:val="87134566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Jan80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(Jangeldt)</w:t>
                    </w:r>
                    <w:r>
                      <w:fldChar w:fldCharType="end"/>
                    </w:r>
                  </w:sdtContent>
                </w:sdt>
              </w:p>
              <w:p w:rsidR="007B2DAE" w:rsidRDefault="007B2DAE" w:rsidP="007B2DAE"/>
              <w:p w:rsidR="003235A7" w:rsidRDefault="007B2DAE" w:rsidP="007B2DAE">
                <w:sdt>
                  <w:sdtPr>
                    <w:id w:val="-107543143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Kuc10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(Kuchanova)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vin Tunnicliffe" w:date="2015-11-10T17:00:00Z" w:initials="KT">
    <w:p w:rsidR="007B2DAE" w:rsidRDefault="007B2DAE">
      <w:pPr>
        <w:pStyle w:val="CommentText"/>
      </w:pPr>
      <w:r>
        <w:rPr>
          <w:rStyle w:val="CommentReference"/>
        </w:rPr>
        <w:annotationRef/>
      </w:r>
      <w:r>
        <w:t>Include?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DAE" w:rsidRDefault="007B2DAE" w:rsidP="007A0D55">
      <w:pPr>
        <w:spacing w:after="0" w:line="240" w:lineRule="auto"/>
      </w:pPr>
      <w:r>
        <w:separator/>
      </w:r>
    </w:p>
  </w:endnote>
  <w:endnote w:type="continuationSeparator" w:id="0">
    <w:p w:rsidR="007B2DAE" w:rsidRDefault="007B2DA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 Italic">
    <w:panose1 w:val="02020503050405090304"/>
    <w:charset w:val="00"/>
    <w:family w:val="auto"/>
    <w:pitch w:val="variable"/>
    <w:sig w:usb0="E0000AFF" w:usb1="00007843" w:usb2="00000001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DAE" w:rsidRDefault="007B2DAE" w:rsidP="007A0D55">
      <w:pPr>
        <w:spacing w:after="0" w:line="240" w:lineRule="auto"/>
      </w:pPr>
      <w:r>
        <w:separator/>
      </w:r>
    </w:p>
  </w:footnote>
  <w:footnote w:type="continuationSeparator" w:id="0">
    <w:p w:rsidR="007B2DAE" w:rsidRDefault="007B2DA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DAE" w:rsidRDefault="007B2DA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B2DAE" w:rsidRDefault="007B2DA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DA3"/>
    <w:rsid w:val="00032559"/>
    <w:rsid w:val="00052040"/>
    <w:rsid w:val="000B25AE"/>
    <w:rsid w:val="000B55AB"/>
    <w:rsid w:val="000D24DC"/>
    <w:rsid w:val="00101B2E"/>
    <w:rsid w:val="00116FA0"/>
    <w:rsid w:val="0015114C"/>
    <w:rsid w:val="00151C31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67DA3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2DAE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67DA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DA3"/>
    <w:rPr>
      <w:rFonts w:ascii="Lucida Grande" w:hAnsi="Lucida Grande"/>
      <w:sz w:val="18"/>
      <w:szCs w:val="18"/>
    </w:rPr>
  </w:style>
  <w:style w:type="character" w:customStyle="1" w:styleId="st">
    <w:name w:val="st"/>
    <w:basedOn w:val="DefaultParagraphFont"/>
    <w:rsid w:val="00567DA3"/>
  </w:style>
  <w:style w:type="paragraph" w:customStyle="1" w:styleId="FreeForm">
    <w:name w:val="Free Form"/>
    <w:rsid w:val="007B2DAE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rsid w:val="007B2DA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7B2DA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2DA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B2DA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2DA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67DA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DA3"/>
    <w:rPr>
      <w:rFonts w:ascii="Lucida Grande" w:hAnsi="Lucida Grande"/>
      <w:sz w:val="18"/>
      <w:szCs w:val="18"/>
    </w:rPr>
  </w:style>
  <w:style w:type="character" w:customStyle="1" w:styleId="st">
    <w:name w:val="st"/>
    <w:basedOn w:val="DefaultParagraphFont"/>
    <w:rsid w:val="00567DA3"/>
  </w:style>
  <w:style w:type="paragraph" w:customStyle="1" w:styleId="FreeForm">
    <w:name w:val="Free Form"/>
    <w:rsid w:val="007B2DAE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rsid w:val="007B2DA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7B2DA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2DA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B2DA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2DA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vintunnicliffe:Desktop:ALL%20THINGS%20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7175867FAA4E3449E5ACA47417C3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850F9-E997-CE4B-8A2C-0CEFED81726F}"/>
      </w:docPartPr>
      <w:docPartBody>
        <w:p w:rsidR="00E920A4" w:rsidRDefault="00E920A4">
          <w:pPr>
            <w:pStyle w:val="77175867FAA4E3449E5ACA47417C3AB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C2A78BAE6B1C045BD3E7400E795E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2B287A-7BAA-5943-BD80-D894DB36C6F3}"/>
      </w:docPartPr>
      <w:docPartBody>
        <w:p w:rsidR="00E920A4" w:rsidRDefault="00E920A4">
          <w:pPr>
            <w:pStyle w:val="FC2A78BAE6B1C045BD3E7400E795EC6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B1A871A4C384F47B11C102485AA9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2BDEB-3C40-2B42-8473-98A916EADB0D}"/>
      </w:docPartPr>
      <w:docPartBody>
        <w:p w:rsidR="00E920A4" w:rsidRDefault="00E920A4">
          <w:pPr>
            <w:pStyle w:val="1B1A871A4C384F47B11C102485AA947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721F31A44B0DF4F961281EB8AB23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225D80-4F21-BE49-AFE0-9981574C1340}"/>
      </w:docPartPr>
      <w:docPartBody>
        <w:p w:rsidR="00E920A4" w:rsidRDefault="00E920A4">
          <w:pPr>
            <w:pStyle w:val="8721F31A44B0DF4F961281EB8AB23DA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8AAB222ABFB184DA3287FB7EB492D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10A55-F05C-594C-8E99-B9A48391C485}"/>
      </w:docPartPr>
      <w:docPartBody>
        <w:p w:rsidR="00E920A4" w:rsidRDefault="00E920A4">
          <w:pPr>
            <w:pStyle w:val="58AAB222ABFB184DA3287FB7EB492D8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664542035791C40B922D142FBAFE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3C4A4-483B-634A-9FEC-F5576EC482C4}"/>
      </w:docPartPr>
      <w:docPartBody>
        <w:p w:rsidR="00E920A4" w:rsidRDefault="00E920A4">
          <w:pPr>
            <w:pStyle w:val="D664542035791C40B922D142FBAFEEE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0BA7B17EA04B14D857C16970F1A9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1E9152-E696-D541-A456-44C201F09ACA}"/>
      </w:docPartPr>
      <w:docPartBody>
        <w:p w:rsidR="00E920A4" w:rsidRDefault="00E920A4">
          <w:pPr>
            <w:pStyle w:val="50BA7B17EA04B14D857C16970F1A91E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6C130F03EAB094BA6FBD69905E3B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33F17-A1BF-9549-B8C5-6CA9D59F8ABF}"/>
      </w:docPartPr>
      <w:docPartBody>
        <w:p w:rsidR="00E920A4" w:rsidRDefault="00E920A4">
          <w:pPr>
            <w:pStyle w:val="36C130F03EAB094BA6FBD69905E3BFE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305EB5BCD853C43B6A5190ED76BD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8B954-F03B-B047-B7F8-EDCBE3DA3A62}"/>
      </w:docPartPr>
      <w:docPartBody>
        <w:p w:rsidR="00E920A4" w:rsidRDefault="00E920A4">
          <w:pPr>
            <w:pStyle w:val="7305EB5BCD853C43B6A5190ED76BD86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B327C745EA3FB499A0C7814BCC6D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B97EC-5EBD-EE41-B897-1B8CB04ACB33}"/>
      </w:docPartPr>
      <w:docPartBody>
        <w:p w:rsidR="00E920A4" w:rsidRDefault="00E920A4">
          <w:pPr>
            <w:pStyle w:val="EB327C745EA3FB499A0C7814BCC6DA6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FA5D556805DFE42B068542AAE9C6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9CF16-A85F-0641-A91B-18747A652A69}"/>
      </w:docPartPr>
      <w:docPartBody>
        <w:p w:rsidR="00E920A4" w:rsidRDefault="00E920A4">
          <w:pPr>
            <w:pStyle w:val="8FA5D556805DFE42B068542AAE9C6F10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E31131F7599BB44FA58876A882E03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41A54-AC7C-CC4F-B084-C1DE643D4D5C}"/>
      </w:docPartPr>
      <w:docPartBody>
        <w:p w:rsidR="00E920A4" w:rsidRDefault="00E920A4" w:rsidP="00E920A4">
          <w:pPr>
            <w:pStyle w:val="E31131F7599BB44FA58876A882E0370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 Italic">
    <w:panose1 w:val="02020503050405090304"/>
    <w:charset w:val="00"/>
    <w:family w:val="auto"/>
    <w:pitch w:val="variable"/>
    <w:sig w:usb0="E0000AFF" w:usb1="00007843" w:usb2="00000001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0A4"/>
    <w:rsid w:val="00E9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20A4"/>
    <w:rPr>
      <w:color w:val="808080"/>
    </w:rPr>
  </w:style>
  <w:style w:type="paragraph" w:customStyle="1" w:styleId="77175867FAA4E3449E5ACA47417C3AB0">
    <w:name w:val="77175867FAA4E3449E5ACA47417C3AB0"/>
  </w:style>
  <w:style w:type="paragraph" w:customStyle="1" w:styleId="FC2A78BAE6B1C045BD3E7400E795EC69">
    <w:name w:val="FC2A78BAE6B1C045BD3E7400E795EC69"/>
  </w:style>
  <w:style w:type="paragraph" w:customStyle="1" w:styleId="1B1A871A4C384F47B11C102485AA9470">
    <w:name w:val="1B1A871A4C384F47B11C102485AA9470"/>
  </w:style>
  <w:style w:type="paragraph" w:customStyle="1" w:styleId="8721F31A44B0DF4F961281EB8AB23DAB">
    <w:name w:val="8721F31A44B0DF4F961281EB8AB23DAB"/>
  </w:style>
  <w:style w:type="paragraph" w:customStyle="1" w:styleId="58AAB222ABFB184DA3287FB7EB492D8B">
    <w:name w:val="58AAB222ABFB184DA3287FB7EB492D8B"/>
  </w:style>
  <w:style w:type="paragraph" w:customStyle="1" w:styleId="D664542035791C40B922D142FBAFEEE8">
    <w:name w:val="D664542035791C40B922D142FBAFEEE8"/>
  </w:style>
  <w:style w:type="paragraph" w:customStyle="1" w:styleId="50BA7B17EA04B14D857C16970F1A91E4">
    <w:name w:val="50BA7B17EA04B14D857C16970F1A91E4"/>
  </w:style>
  <w:style w:type="paragraph" w:customStyle="1" w:styleId="36C130F03EAB094BA6FBD69905E3BFE3">
    <w:name w:val="36C130F03EAB094BA6FBD69905E3BFE3"/>
  </w:style>
  <w:style w:type="paragraph" w:customStyle="1" w:styleId="7305EB5BCD853C43B6A5190ED76BD861">
    <w:name w:val="7305EB5BCD853C43B6A5190ED76BD861"/>
  </w:style>
  <w:style w:type="paragraph" w:customStyle="1" w:styleId="EB327C745EA3FB499A0C7814BCC6DA65">
    <w:name w:val="EB327C745EA3FB499A0C7814BCC6DA65"/>
  </w:style>
  <w:style w:type="paragraph" w:customStyle="1" w:styleId="8FA5D556805DFE42B068542AAE9C6F10">
    <w:name w:val="8FA5D556805DFE42B068542AAE9C6F10"/>
  </w:style>
  <w:style w:type="paragraph" w:customStyle="1" w:styleId="E31131F7599BB44FA58876A882E0370C">
    <w:name w:val="E31131F7599BB44FA58876A882E0370C"/>
    <w:rsid w:val="00E920A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20A4"/>
    <w:rPr>
      <w:color w:val="808080"/>
    </w:rPr>
  </w:style>
  <w:style w:type="paragraph" w:customStyle="1" w:styleId="77175867FAA4E3449E5ACA47417C3AB0">
    <w:name w:val="77175867FAA4E3449E5ACA47417C3AB0"/>
  </w:style>
  <w:style w:type="paragraph" w:customStyle="1" w:styleId="FC2A78BAE6B1C045BD3E7400E795EC69">
    <w:name w:val="FC2A78BAE6B1C045BD3E7400E795EC69"/>
  </w:style>
  <w:style w:type="paragraph" w:customStyle="1" w:styleId="1B1A871A4C384F47B11C102485AA9470">
    <w:name w:val="1B1A871A4C384F47B11C102485AA9470"/>
  </w:style>
  <w:style w:type="paragraph" w:customStyle="1" w:styleId="8721F31A44B0DF4F961281EB8AB23DAB">
    <w:name w:val="8721F31A44B0DF4F961281EB8AB23DAB"/>
  </w:style>
  <w:style w:type="paragraph" w:customStyle="1" w:styleId="58AAB222ABFB184DA3287FB7EB492D8B">
    <w:name w:val="58AAB222ABFB184DA3287FB7EB492D8B"/>
  </w:style>
  <w:style w:type="paragraph" w:customStyle="1" w:styleId="D664542035791C40B922D142FBAFEEE8">
    <w:name w:val="D664542035791C40B922D142FBAFEEE8"/>
  </w:style>
  <w:style w:type="paragraph" w:customStyle="1" w:styleId="50BA7B17EA04B14D857C16970F1A91E4">
    <w:name w:val="50BA7B17EA04B14D857C16970F1A91E4"/>
  </w:style>
  <w:style w:type="paragraph" w:customStyle="1" w:styleId="36C130F03EAB094BA6FBD69905E3BFE3">
    <w:name w:val="36C130F03EAB094BA6FBD69905E3BFE3"/>
  </w:style>
  <w:style w:type="paragraph" w:customStyle="1" w:styleId="7305EB5BCD853C43B6A5190ED76BD861">
    <w:name w:val="7305EB5BCD853C43B6A5190ED76BD861"/>
  </w:style>
  <w:style w:type="paragraph" w:customStyle="1" w:styleId="EB327C745EA3FB499A0C7814BCC6DA65">
    <w:name w:val="EB327C745EA3FB499A0C7814BCC6DA65"/>
  </w:style>
  <w:style w:type="paragraph" w:customStyle="1" w:styleId="8FA5D556805DFE42B068542AAE9C6F10">
    <w:name w:val="8FA5D556805DFE42B068542AAE9C6F10"/>
  </w:style>
  <w:style w:type="paragraph" w:customStyle="1" w:styleId="E31131F7599BB44FA58876A882E0370C">
    <w:name w:val="E31131F7599BB44FA58876A882E0370C"/>
    <w:rsid w:val="00E920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Enz74</b:Tag>
    <b:SourceType>JournalArticle</b:SourceType>
    <b:Guid>{40FE60BE-D25C-C04B-8056-488C5BB0CE1C}</b:Guid>
    <b:Author>
      <b:Author>
        <b:NameList>
          <b:Person>
            <b:Last>Enzensberger</b:Last>
            <b:First>M.</b:First>
          </b:Person>
        </b:NameList>
      </b:Author>
    </b:Author>
    <b:Title>Osip Brik: Selected Writings</b:Title>
    <b:Year>1974</b:Year>
    <b:Volume>15</b:Volume>
    <b:Pages>59-81</b:Pages>
    <b:JournalName>Screen</b:JournalName>
    <b:Issue>3</b:Issue>
    <b:RefOrder>1</b:RefOrder>
  </b:Source>
  <b:Source>
    <b:Tag>Fer931</b:Tag>
    <b:SourceType>BookSection</b:SourceType>
    <b:Guid>{C56565AE-153A-5F4F-A2D2-B9BBB13ECA89}</b:Guid>
    <b:Title>The Language of Construction</b:Title>
    <b:Publisher>Yale University Press</b:Publisher>
    <b:City>New Haven</b:City>
    <b:Year>1993</b:Year>
    <b:Pages>87-169</b:Pages>
    <b:Author>
      <b:Author>
        <b:NameList>
          <b:Person>
            <b:Last>Fer</b:Last>
            <b:First>B.</b:First>
          </b:Person>
        </b:NameList>
      </b:Author>
      <b:Editor>
        <b:NameList>
          <b:Person>
            <b:Last>Fer</b:Last>
            <b:First>B.</b:First>
          </b:Person>
          <b:Person>
            <b:Last>Batchelor</b:Last>
            <b:First>D.</b:First>
          </b:Person>
          <b:Person>
            <b:Last>Wood</b:Last>
            <b:First>P.</b:First>
          </b:Person>
        </b:NameList>
      </b:Editor>
    </b:Author>
    <b:BookTitle>Realism, Rationalism, Surrealism: Art Between the Wars</b:BookTitle>
    <b:RefOrder>2</b:RefOrder>
  </b:Source>
  <b:Source>
    <b:Tag>Jan80</b:Tag>
    <b:SourceType>JournalArticle</b:SourceType>
    <b:Guid>{B26A4AAD-C486-6D41-869E-32AF4AADB311}</b:Guid>
    <b:Title>Osip Brik: A Bibliography (With and Introduction and a Post Scriptum)</b:Title>
    <b:Year>1980</b:Year>
    <b:Volume>8</b:Volume>
    <b:Pages>579-604</b:Pages>
    <b:Author>
      <b:Author>
        <b:NameList>
          <b:Person>
            <b:Last>Jangeldt</b:Last>
            <b:First>B.</b:First>
          </b:Person>
        </b:NameList>
      </b:Author>
    </b:Author>
    <b:JournalName>Russian Literature</b:JournalName>
    <b:Issue>6</b:Issue>
    <b:RefOrder>3</b:RefOrder>
  </b:Source>
  <b:Source>
    <b:Tag>Kuc10</b:Tag>
    <b:SourceType>JournalArticle</b:SourceType>
    <b:Guid>{19327E83-3869-0E43-8A14-1421838B78CB}</b:Guid>
    <b:Author>
      <b:Author>
        <b:NameList>
          <b:Person>
            <b:Last>Kuchanova</b:Last>
            <b:First>N.</b:First>
          </b:Person>
        </b:NameList>
      </b:Author>
    </b:Author>
    <b:Title>Osip Brik and the Politics of the Avant-Garde</b:Title>
    <b:JournalName>October</b:JournalName>
    <b:Year>2010</b:Year>
    <b:Volume>134</b:Volume>
    <b:Pages>52–73</b:Pages>
    <b:RefOrder>4</b:RefOrder>
  </b:Source>
</b:Sources>
</file>

<file path=customXml/itemProps1.xml><?xml version="1.0" encoding="utf-8"?>
<ds:datastoreItem xmlns:ds="http://schemas.openxmlformats.org/officeDocument/2006/customXml" ds:itemID="{D5002050-DD72-D94A-884D-5896F3037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18</TotalTime>
  <Pages>2</Pages>
  <Words>827</Words>
  <Characters>4720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Tunnicliffe</dc:creator>
  <cp:keywords/>
  <dc:description/>
  <cp:lastModifiedBy>Kevin Tunnicliffe</cp:lastModifiedBy>
  <cp:revision>1</cp:revision>
  <dcterms:created xsi:type="dcterms:W3CDTF">2015-11-11T00:42:00Z</dcterms:created>
  <dcterms:modified xsi:type="dcterms:W3CDTF">2015-11-11T01:09:00Z</dcterms:modified>
</cp:coreProperties>
</file>