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0F10820D8328458171AE112F5F9FE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1E29CD2305EF4D8C9416B544C68C83"/>
            </w:placeholder>
            <w:text/>
          </w:sdtPr>
          <w:sdtContent>
            <w:tc>
              <w:tcPr>
                <w:tcW w:w="2073" w:type="dxa"/>
              </w:tcPr>
              <w:p w:rsidR="00B574C9" w:rsidRDefault="00D5268D" w:rsidP="00922950">
                <w:r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Jonathan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1B3AE54185E244B885628D4B47B061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B9C3132494A34458E6893F5464370EB"/>
            </w:placeholder>
            <w:text/>
          </w:sdtPr>
          <w:sdtContent>
            <w:tc>
              <w:tcPr>
                <w:tcW w:w="2642" w:type="dxa"/>
              </w:tcPr>
              <w:p w:rsidR="00B574C9" w:rsidRDefault="00D5268D" w:rsidP="00D5268D">
                <w:r w:rsidRPr="00B13030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Chambers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C7B1D816F17F46A9782D6B0317F98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F2BE73729114448162F0C313ECFA2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D5268D" w:rsidRPr="00EC01C3" w:rsidRDefault="00D5268D" w:rsidP="00D5268D">
                <w:pPr>
                  <w:rPr>
                    <w:rFonts w:ascii="Times New Roman" w:eastAsia="Times" w:hAnsi="Times New Roman" w:cs="Times New Roman"/>
                    <w:sz w:val="24"/>
                    <w:szCs w:val="24"/>
                    <w:lang w:val="en-US"/>
                  </w:rPr>
                </w:pPr>
                <w:r w:rsidRPr="00EC01C3">
                  <w:rPr>
                    <w:rFonts w:ascii="Times New Roman" w:eastAsia="Times" w:hAnsi="Times New Roman" w:cs="Times New Roman"/>
                    <w:sz w:val="24"/>
                    <w:szCs w:val="24"/>
                    <w:lang w:val="en-US"/>
                  </w:rPr>
                  <w:t>Bowling Green State University</w:t>
                </w:r>
              </w:p>
              <w:p w:rsidR="00D5268D" w:rsidRPr="00EC01C3" w:rsidRDefault="00D5268D" w:rsidP="00D5268D">
                <w:pPr>
                  <w:rPr>
                    <w:rFonts w:ascii="Times New Roman" w:eastAsia="Times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B574C9" w:rsidRDefault="00B574C9" w:rsidP="00B574C9"/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rFonts w:ascii="Times New Roman" w:hAnsi="Times New Roman" w:cs="Times New Roman"/>
              <w:b/>
            </w:rPr>
            <w:alias w:val="Article headword"/>
            <w:tag w:val="articleHeadword"/>
            <w:id w:val="-361440020"/>
            <w:placeholder>
              <w:docPart w:val="F79D88782AE9E94FAAC546B47DCAE3D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5268D" w:rsidP="003F0D73">
                <w:pPr>
                  <w:rPr>
                    <w:b/>
                  </w:rPr>
                </w:pPr>
                <w:r w:rsidRPr="00A439F4">
                  <w:rPr>
                    <w:rFonts w:ascii="Times New Roman" w:eastAsiaTheme="minorEastAsia" w:hAnsi="Times New Roman" w:cs="Times New Roman"/>
                    <w:caps/>
                    <w:sz w:val="24"/>
                    <w:szCs w:val="24"/>
                    <w:lang w:val="en-CA" w:eastAsia="ja-JP"/>
                  </w:rPr>
                  <w:t>LAWSON, JOHN HOWARD (1894-1977)</w:t>
                </w:r>
                <w:r w:rsidRPr="00A439F4">
                  <w:rPr>
                    <w:rFonts w:ascii="Times New Roman" w:eastAsiaTheme="minorEastAsia" w:hAnsi="Times New Roman" w:cs="Times New Roman"/>
                    <w:caps/>
                    <w:sz w:val="24"/>
                    <w:szCs w:val="24"/>
                    <w:lang w:val="en-CA" w:eastAsia="ja-JP"/>
                  </w:rPr>
                  <w:tab/>
                </w:r>
              </w:p>
            </w:tc>
          </w:sdtContent>
        </w:sdt>
        <w:bookmarkEnd w:id="0" w:displacedByCustomXml="prev"/>
      </w:tr>
      <w:tr w:rsidR="00464699" w:rsidTr="004605EF">
        <w:sdt>
          <w:sdtPr>
            <w:alias w:val="Variant headwords"/>
            <w:tag w:val="variantHeadwords"/>
            <w:id w:val="173464402"/>
            <w:placeholder>
              <w:docPart w:val="9F60118A1BC2F04FB4B175D1BA47B3F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E1CA3544A05BD4CB5648D45E9FE81C3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John Howard Lawson was born in New York City on 25 September 1894. </w:t>
                </w:r>
                <w:r>
                  <w:rPr>
                    <w:szCs w:val="24"/>
                  </w:rPr>
                  <w:t>His first major play,</w:t>
                </w:r>
                <w:r w:rsidRPr="00D110DB">
                  <w:rPr>
                    <w:szCs w:val="24"/>
                  </w:rPr>
                  <w:t xml:space="preserve"> </w:t>
                </w:r>
                <w:r w:rsidRPr="00D110DB">
                  <w:rPr>
                    <w:i/>
                    <w:szCs w:val="24"/>
                  </w:rPr>
                  <w:t>Roger Bloomer</w:t>
                </w:r>
                <w:r w:rsidRPr="00D110DB">
                  <w:rPr>
                    <w:szCs w:val="24"/>
                  </w:rPr>
                  <w:t xml:space="preserve"> (1923)</w:t>
                </w:r>
                <w:r>
                  <w:rPr>
                    <w:szCs w:val="24"/>
                  </w:rPr>
                  <w:t xml:space="preserve">, </w:t>
                </w:r>
                <w:r w:rsidRPr="00D110DB">
                  <w:rPr>
                    <w:szCs w:val="24"/>
                  </w:rPr>
                  <w:t>advanced expressionism in the United State</w:t>
                </w:r>
                <w:r>
                  <w:rPr>
                    <w:szCs w:val="24"/>
                  </w:rPr>
                  <w:t>s</w:t>
                </w:r>
                <w:r w:rsidRPr="00D110DB">
                  <w:rPr>
                    <w:szCs w:val="24"/>
                  </w:rPr>
                  <w:t>, trading the</w:t>
                </w:r>
                <w:r>
                  <w:rPr>
                    <w:szCs w:val="24"/>
                  </w:rPr>
                  <w:t xml:space="preserve"> </w:t>
                </w:r>
                <w:r w:rsidRPr="00D110DB">
                  <w:rPr>
                    <w:szCs w:val="24"/>
                  </w:rPr>
                  <w:t xml:space="preserve">pessimism </w:t>
                </w:r>
                <w:r>
                  <w:rPr>
                    <w:szCs w:val="24"/>
                  </w:rPr>
                  <w:t xml:space="preserve">that frequently defined the form </w:t>
                </w:r>
                <w:r w:rsidRPr="00D110DB">
                  <w:rPr>
                    <w:szCs w:val="24"/>
                  </w:rPr>
                  <w:t xml:space="preserve">for optimism. </w:t>
                </w:r>
                <w:r w:rsidRPr="00D110DB">
                  <w:rPr>
                    <w:i/>
                    <w:szCs w:val="24"/>
                  </w:rPr>
                  <w:t>Processional</w:t>
                </w:r>
                <w:r w:rsidRPr="00D110DB">
                  <w:rPr>
                    <w:szCs w:val="24"/>
                  </w:rPr>
                  <w:t xml:space="preserve"> (1925), </w:t>
                </w:r>
                <w:r>
                  <w:rPr>
                    <w:szCs w:val="24"/>
                  </w:rPr>
                  <w:t>produced by the</w:t>
                </w:r>
                <w:r w:rsidRPr="00D110DB">
                  <w:rPr>
                    <w:szCs w:val="24"/>
                  </w:rPr>
                  <w:t xml:space="preserve"> Theatre Guild, </w:t>
                </w:r>
                <w:r>
                  <w:rPr>
                    <w:szCs w:val="24"/>
                  </w:rPr>
                  <w:t>was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also </w:t>
                </w:r>
                <w:r w:rsidRPr="00D110DB">
                  <w:rPr>
                    <w:szCs w:val="24"/>
                  </w:rPr>
                  <w:t>formally adventurous</w:t>
                </w:r>
                <w:r>
                  <w:rPr>
                    <w:szCs w:val="24"/>
                  </w:rPr>
                  <w:t>.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C</w:t>
                </w:r>
                <w:r w:rsidRPr="00D110DB">
                  <w:rPr>
                    <w:szCs w:val="24"/>
                  </w:rPr>
                  <w:t xml:space="preserve">ombining jazz, vaudeville, and </w:t>
                </w:r>
                <w:r>
                  <w:rPr>
                    <w:szCs w:val="24"/>
                  </w:rPr>
                  <w:t>dada,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and focusing on a</w:t>
                </w:r>
                <w:r w:rsidRPr="00D110DB">
                  <w:rPr>
                    <w:szCs w:val="24"/>
                  </w:rPr>
                  <w:t xml:space="preserve"> labor dispute</w:t>
                </w:r>
                <w:r>
                  <w:rPr>
                    <w:szCs w:val="24"/>
                  </w:rPr>
                  <w:t>, it is</w:t>
                </w:r>
                <w:r w:rsidRPr="00D110DB">
                  <w:rPr>
                    <w:szCs w:val="24"/>
                  </w:rPr>
                  <w:t xml:space="preserve"> Lawson’s</w:t>
                </w:r>
                <w:r w:rsidRPr="00C46598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masterwork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2E57B9528B0B74A9115D8B35BB00EA3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John Howard Lawson was born in New York City on 25 September 1894. </w:t>
                </w:r>
                <w:r>
                  <w:rPr>
                    <w:szCs w:val="24"/>
                  </w:rPr>
                  <w:t>His first major play,</w:t>
                </w:r>
                <w:r w:rsidRPr="00D110DB">
                  <w:rPr>
                    <w:szCs w:val="24"/>
                  </w:rPr>
                  <w:t xml:space="preserve"> </w:t>
                </w:r>
                <w:r w:rsidRPr="00D110DB">
                  <w:rPr>
                    <w:i/>
                    <w:szCs w:val="24"/>
                  </w:rPr>
                  <w:t>Roger Bloomer</w:t>
                </w:r>
                <w:r w:rsidRPr="00D110DB">
                  <w:rPr>
                    <w:szCs w:val="24"/>
                  </w:rPr>
                  <w:t xml:space="preserve"> (1923)</w:t>
                </w:r>
                <w:r>
                  <w:rPr>
                    <w:szCs w:val="24"/>
                  </w:rPr>
                  <w:t xml:space="preserve">, </w:t>
                </w:r>
                <w:r w:rsidRPr="00D110DB">
                  <w:rPr>
                    <w:szCs w:val="24"/>
                  </w:rPr>
                  <w:t>advanced expressionism in the United State</w:t>
                </w:r>
                <w:r>
                  <w:rPr>
                    <w:szCs w:val="24"/>
                  </w:rPr>
                  <w:t>s</w:t>
                </w:r>
                <w:r w:rsidRPr="00D110DB">
                  <w:rPr>
                    <w:szCs w:val="24"/>
                  </w:rPr>
                  <w:t>, trading the</w:t>
                </w:r>
                <w:r>
                  <w:rPr>
                    <w:szCs w:val="24"/>
                  </w:rPr>
                  <w:t xml:space="preserve"> </w:t>
                </w:r>
                <w:r w:rsidRPr="00D110DB">
                  <w:rPr>
                    <w:szCs w:val="24"/>
                  </w:rPr>
                  <w:t xml:space="preserve">pessimism </w:t>
                </w:r>
                <w:r>
                  <w:rPr>
                    <w:szCs w:val="24"/>
                  </w:rPr>
                  <w:t xml:space="preserve">that frequently defined the form </w:t>
                </w:r>
                <w:r w:rsidRPr="00D110DB">
                  <w:rPr>
                    <w:szCs w:val="24"/>
                  </w:rPr>
                  <w:t xml:space="preserve">for optimism. </w:t>
                </w:r>
                <w:r w:rsidRPr="00D110DB">
                  <w:rPr>
                    <w:i/>
                    <w:szCs w:val="24"/>
                  </w:rPr>
                  <w:t>Processional</w:t>
                </w:r>
                <w:r w:rsidRPr="00D110DB">
                  <w:rPr>
                    <w:szCs w:val="24"/>
                  </w:rPr>
                  <w:t xml:space="preserve"> (1925), </w:t>
                </w:r>
                <w:r>
                  <w:rPr>
                    <w:szCs w:val="24"/>
                  </w:rPr>
                  <w:t>produced by the</w:t>
                </w:r>
                <w:r w:rsidRPr="00D110DB">
                  <w:rPr>
                    <w:szCs w:val="24"/>
                  </w:rPr>
                  <w:t xml:space="preserve"> Theatre Guild, </w:t>
                </w:r>
                <w:r>
                  <w:rPr>
                    <w:szCs w:val="24"/>
                  </w:rPr>
                  <w:t>was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also </w:t>
                </w:r>
                <w:r w:rsidRPr="00D110DB">
                  <w:rPr>
                    <w:szCs w:val="24"/>
                  </w:rPr>
                  <w:t>formally adventurous</w:t>
                </w:r>
                <w:r>
                  <w:rPr>
                    <w:szCs w:val="24"/>
                  </w:rPr>
                  <w:t>.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C</w:t>
                </w:r>
                <w:r w:rsidRPr="00D110DB">
                  <w:rPr>
                    <w:szCs w:val="24"/>
                  </w:rPr>
                  <w:t xml:space="preserve">ombining jazz, vaudeville, and </w:t>
                </w:r>
                <w:r>
                  <w:rPr>
                    <w:szCs w:val="24"/>
                  </w:rPr>
                  <w:t>dada,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and focusing on a</w:t>
                </w:r>
                <w:r w:rsidRPr="00D110DB">
                  <w:rPr>
                    <w:szCs w:val="24"/>
                  </w:rPr>
                  <w:t xml:space="preserve"> labor dispute</w:t>
                </w:r>
                <w:r>
                  <w:rPr>
                    <w:szCs w:val="24"/>
                  </w:rPr>
                  <w:t>, it is</w:t>
                </w:r>
                <w:r w:rsidRPr="00D110DB">
                  <w:rPr>
                    <w:szCs w:val="24"/>
                  </w:rPr>
                  <w:t xml:space="preserve"> Lawson’s</w:t>
                </w:r>
                <w:r w:rsidRPr="00C46598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masterwork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keepNext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File: </w:t>
                </w:r>
                <w:r w:rsidRPr="00D5268D">
                  <w:rPr>
                    <w:szCs w:val="24"/>
                  </w:rPr>
                  <w:t>Processional, Garrick Theatre.png</w:t>
                </w:r>
              </w:p>
              <w:p w:rsidR="00D5268D" w:rsidRDefault="00D5268D" w:rsidP="00D5268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BD5772">
                  <w:rPr>
                    <w:bCs w:val="0"/>
                    <w:i/>
                  </w:rPr>
                  <w:t xml:space="preserve"> </w:t>
                </w:r>
                <w:r w:rsidRPr="00D5268D">
                  <w:rPr>
                    <w:b w:val="0"/>
                    <w:bCs w:val="0"/>
                    <w:i/>
                  </w:rPr>
                  <w:t>Processional</w:t>
                </w:r>
                <w:r w:rsidRPr="00D5268D">
                  <w:rPr>
                    <w:b w:val="0"/>
                    <w:bCs w:val="0"/>
                  </w:rPr>
                  <w:t>, Garrick Theatre, 1925.</w:t>
                </w:r>
                <w:r w:rsidRPr="00D5268D">
                  <w:rPr>
                    <w:b w:val="0"/>
                  </w:rPr>
                  <w:t xml:space="preserve"> Set design by Mordecai </w:t>
                </w:r>
                <w:proofErr w:type="spellStart"/>
                <w:r w:rsidRPr="00D5268D">
                  <w:rPr>
                    <w:b w:val="0"/>
                  </w:rPr>
                  <w:t>Gorelik</w:t>
                </w:r>
                <w:proofErr w:type="spellEnd"/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Source: </w:t>
                </w:r>
                <w:r w:rsidRPr="00B25141">
                  <w:t xml:space="preserve">Billy Rose Theatre Collection, New York Public Library, </w:t>
                </w:r>
                <w:r w:rsidRPr="00B25141">
                  <w:rPr>
                    <w:rStyle w:val="caption0"/>
                  </w:rPr>
                  <w:t>Image ID: psnypl_the_5354,</w:t>
                </w:r>
                <w:r w:rsidRPr="00B25141">
                  <w:t xml:space="preserve"> available at: </w:t>
                </w:r>
                <w:hyperlink r:id="rId9" w:history="1">
                  <w:r w:rsidRPr="00B25141">
                    <w:rPr>
                      <w:rStyle w:val="Hyperlink"/>
                    </w:rPr>
                    <w:t>http://digitalgallery.nypl.org/nypldigital/dgkeysearchdetail.cfm?trg=1&amp;strucID=1888666&amp;imageID=psnypl_the_5354&amp;total=19&amp;num=0&amp;word=processional&amp;s=1&amp;notword=&amp;d=&amp;c=&amp;f=&amp;k=1&amp;lWord=&amp;lField=&amp;sScope=&amp;sLevel=&amp;sLabel=&amp;sort=&amp;imgs=20&amp;pos=2&amp;e=w</w:t>
                  </w:r>
                </w:hyperlink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i/>
                    <w:szCs w:val="24"/>
                  </w:rPr>
                  <w:t>Nirvana</w:t>
                </w:r>
                <w:r w:rsidRPr="00D110DB">
                  <w:rPr>
                    <w:szCs w:val="24"/>
                  </w:rPr>
                  <w:t xml:space="preserve"> (1926), </w:t>
                </w:r>
                <w:r w:rsidRPr="00D110DB">
                  <w:rPr>
                    <w:i/>
                    <w:szCs w:val="24"/>
                  </w:rPr>
                  <w:t>Loudspeaker</w:t>
                </w:r>
                <w:r w:rsidRPr="00D110DB">
                  <w:rPr>
                    <w:szCs w:val="24"/>
                  </w:rPr>
                  <w:t xml:space="preserve"> (1927), and </w:t>
                </w:r>
                <w:r w:rsidRPr="00D110DB">
                  <w:rPr>
                    <w:i/>
                    <w:szCs w:val="24"/>
                  </w:rPr>
                  <w:t>The International</w:t>
                </w:r>
                <w:r>
                  <w:rPr>
                    <w:szCs w:val="24"/>
                  </w:rPr>
                  <w:t xml:space="preserve"> (1928) followed.</w:t>
                </w:r>
                <w:r w:rsidRPr="00D110DB">
                  <w:rPr>
                    <w:szCs w:val="24"/>
                  </w:rPr>
                  <w:t xml:space="preserve"> The latter two were produced by the New Playwrights</w:t>
                </w:r>
                <w:r>
                  <w:rPr>
                    <w:szCs w:val="24"/>
                  </w:rPr>
                  <w:t>’ Theatre</w:t>
                </w:r>
                <w:r w:rsidRPr="00D110DB">
                  <w:rPr>
                    <w:szCs w:val="24"/>
                  </w:rPr>
                  <w:t xml:space="preserve">, a group Lawson co-founded </w:t>
                </w:r>
                <w:r>
                  <w:rPr>
                    <w:szCs w:val="24"/>
                  </w:rPr>
                  <w:t xml:space="preserve">that sought </w:t>
                </w:r>
                <w:r w:rsidRPr="00D110DB">
                  <w:rPr>
                    <w:szCs w:val="24"/>
                  </w:rPr>
                  <w:t>a</w:t>
                </w:r>
                <w:r>
                  <w:rPr>
                    <w:szCs w:val="24"/>
                  </w:rPr>
                  <w:t xml:space="preserve"> working-</w:t>
                </w:r>
                <w:r w:rsidRPr="00D110DB">
                  <w:rPr>
                    <w:szCs w:val="24"/>
                  </w:rPr>
                  <w:t xml:space="preserve">class audience. </w:t>
                </w:r>
                <w:r w:rsidRPr="00D110DB">
                  <w:rPr>
                    <w:i/>
                    <w:szCs w:val="24"/>
                  </w:rPr>
                  <w:t>Loudspeaker</w:t>
                </w:r>
                <w:r>
                  <w:rPr>
                    <w:szCs w:val="24"/>
                  </w:rPr>
                  <w:t xml:space="preserve">, drawing on constructivism, </w:t>
                </w:r>
                <w:r w:rsidRPr="00D110DB">
                  <w:rPr>
                    <w:szCs w:val="24"/>
                  </w:rPr>
                  <w:t>lampoons American politics and big business</w:t>
                </w:r>
                <w:r>
                  <w:rPr>
                    <w:szCs w:val="24"/>
                  </w:rPr>
                  <w:t xml:space="preserve">; </w:t>
                </w:r>
                <w:r w:rsidRPr="00D110DB">
                  <w:rPr>
                    <w:i/>
                    <w:szCs w:val="24"/>
                  </w:rPr>
                  <w:t>The International</w:t>
                </w:r>
                <w:r w:rsidRPr="00D110DB">
                  <w:rPr>
                    <w:szCs w:val="24"/>
                  </w:rPr>
                  <w:t xml:space="preserve"> imagines a future war </w:t>
                </w:r>
                <w:r>
                  <w:rPr>
                    <w:szCs w:val="24"/>
                  </w:rPr>
                  <w:t>through</w:t>
                </w:r>
                <w:r w:rsidRPr="00D110DB">
                  <w:rPr>
                    <w:szCs w:val="24"/>
                  </w:rPr>
                  <w:t xml:space="preserve"> juxtaposition of realism</w:t>
                </w:r>
                <w:r>
                  <w:rPr>
                    <w:szCs w:val="24"/>
                  </w:rPr>
                  <w:t>, dance,</w:t>
                </w:r>
                <w:r w:rsidRPr="00D110DB">
                  <w:rPr>
                    <w:szCs w:val="24"/>
                  </w:rPr>
                  <w:t xml:space="preserve"> and choral odes. The New Playwrights’ folded in 1929.</w:t>
                </w:r>
              </w:p>
              <w:p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Lawson spent </w:t>
                </w:r>
                <w:r>
                  <w:rPr>
                    <w:szCs w:val="24"/>
                  </w:rPr>
                  <w:t xml:space="preserve">most of </w:t>
                </w:r>
                <w:r w:rsidRPr="00D110DB">
                  <w:rPr>
                    <w:szCs w:val="24"/>
                  </w:rPr>
                  <w:t xml:space="preserve">the </w:t>
                </w:r>
                <w:r>
                  <w:rPr>
                    <w:szCs w:val="24"/>
                  </w:rPr>
                  <w:t>early 1930s</w:t>
                </w:r>
                <w:r w:rsidRPr="00D110DB">
                  <w:rPr>
                    <w:szCs w:val="24"/>
                  </w:rPr>
                  <w:t xml:space="preserve"> i</w:t>
                </w:r>
                <w:r>
                  <w:rPr>
                    <w:szCs w:val="24"/>
                  </w:rPr>
                  <w:t>n Hollywood</w:t>
                </w:r>
                <w:r w:rsidRPr="00D110DB">
                  <w:rPr>
                    <w:szCs w:val="24"/>
                  </w:rPr>
                  <w:t xml:space="preserve">. He briefly revisited the theatre with </w:t>
                </w:r>
                <w:r w:rsidRPr="00D110DB">
                  <w:rPr>
                    <w:i/>
                    <w:szCs w:val="24"/>
                  </w:rPr>
                  <w:t>Success Story</w:t>
                </w:r>
                <w:r>
                  <w:rPr>
                    <w:szCs w:val="24"/>
                  </w:rPr>
                  <w:t xml:space="preserve"> (1932),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his first foray into realism and </w:t>
                </w:r>
                <w:r w:rsidRPr="00D110DB">
                  <w:rPr>
                    <w:szCs w:val="24"/>
                  </w:rPr>
                  <w:t xml:space="preserve">produced by the Group Theatre. In 1933 he became involved in the Screen Writers’ Guild, eventually serving as </w:t>
                </w:r>
                <w:r>
                  <w:rPr>
                    <w:szCs w:val="24"/>
                  </w:rPr>
                  <w:t>p</w:t>
                </w:r>
                <w:r w:rsidRPr="00D110DB">
                  <w:rPr>
                    <w:szCs w:val="24"/>
                  </w:rPr>
                  <w:t xml:space="preserve">resident. In 1934, </w:t>
                </w:r>
                <w:r>
                  <w:rPr>
                    <w:szCs w:val="24"/>
                  </w:rPr>
                  <w:t>he</w:t>
                </w:r>
                <w:r w:rsidRPr="00D110DB">
                  <w:rPr>
                    <w:szCs w:val="24"/>
                  </w:rPr>
                  <w:t xml:space="preserve"> had concurrent</w:t>
                </w:r>
                <w:r>
                  <w:rPr>
                    <w:szCs w:val="24"/>
                  </w:rPr>
                  <w:t xml:space="preserve"> New York</w:t>
                </w:r>
                <w:r w:rsidRPr="00D110DB">
                  <w:rPr>
                    <w:szCs w:val="24"/>
                  </w:rPr>
                  <w:t xml:space="preserve"> productions</w:t>
                </w:r>
                <w:r>
                  <w:rPr>
                    <w:szCs w:val="24"/>
                  </w:rPr>
                  <w:t xml:space="preserve"> with</w:t>
                </w:r>
                <w:r w:rsidRPr="00D110DB">
                  <w:rPr>
                    <w:szCs w:val="24"/>
                  </w:rPr>
                  <w:t xml:space="preserve"> </w:t>
                </w:r>
                <w:r w:rsidRPr="00D110DB">
                  <w:rPr>
                    <w:i/>
                    <w:szCs w:val="24"/>
                  </w:rPr>
                  <w:t xml:space="preserve">The Pure in Heart </w:t>
                </w:r>
                <w:r w:rsidRPr="00D110DB">
                  <w:rPr>
                    <w:szCs w:val="24"/>
                  </w:rPr>
                  <w:t xml:space="preserve">and </w:t>
                </w:r>
                <w:r w:rsidRPr="00D110DB">
                  <w:rPr>
                    <w:i/>
                    <w:szCs w:val="24"/>
                  </w:rPr>
                  <w:t>Gentlewoman</w:t>
                </w:r>
                <w:r>
                  <w:rPr>
                    <w:szCs w:val="24"/>
                  </w:rPr>
                  <w:t>.</w:t>
                </w:r>
                <w:r w:rsidRPr="00D110DB">
                  <w:rPr>
                    <w:szCs w:val="24"/>
                  </w:rPr>
                  <w:t xml:space="preserve"> The former </w:t>
                </w:r>
                <w:r>
                  <w:rPr>
                    <w:szCs w:val="24"/>
                  </w:rPr>
                  <w:t>draws on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the </w:t>
                </w:r>
                <w:r w:rsidRPr="00D110DB">
                  <w:rPr>
                    <w:szCs w:val="24"/>
                  </w:rPr>
                  <w:t xml:space="preserve">avant-garde; the latter relies on </w:t>
                </w:r>
                <w:r>
                  <w:rPr>
                    <w:szCs w:val="24"/>
                  </w:rPr>
                  <w:t>realism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>After joining</w:t>
                </w:r>
                <w:r w:rsidRPr="00D110DB">
                  <w:rPr>
                    <w:szCs w:val="24"/>
                  </w:rPr>
                  <w:t xml:space="preserve"> the Communist Party</w:t>
                </w:r>
                <w:r>
                  <w:rPr>
                    <w:szCs w:val="24"/>
                  </w:rPr>
                  <w:t>, Lawson</w:t>
                </w:r>
                <w:r w:rsidRPr="00D110DB">
                  <w:rPr>
                    <w:szCs w:val="24"/>
                  </w:rPr>
                  <w:t xml:space="preserve"> spent the</w:t>
                </w:r>
                <w:r>
                  <w:rPr>
                    <w:szCs w:val="24"/>
                  </w:rPr>
                  <w:t xml:space="preserve"> latter years of the 1930s </w:t>
                </w:r>
                <w:r w:rsidRPr="00D110DB">
                  <w:rPr>
                    <w:szCs w:val="24"/>
                  </w:rPr>
                  <w:t>immersed in various left-wing</w:t>
                </w:r>
                <w:r>
                  <w:rPr>
                    <w:szCs w:val="24"/>
                  </w:rPr>
                  <w:t xml:space="preserve"> causes</w:t>
                </w:r>
                <w:r w:rsidRPr="00D110DB">
                  <w:rPr>
                    <w:szCs w:val="24"/>
                  </w:rPr>
                  <w:t xml:space="preserve"> and writing </w:t>
                </w:r>
                <w:r w:rsidRPr="00D110DB">
                  <w:rPr>
                    <w:i/>
                    <w:szCs w:val="24"/>
                  </w:rPr>
                  <w:t>The Theory and Technique of Playwriting</w:t>
                </w:r>
                <w:r w:rsidRPr="00D110DB">
                  <w:rPr>
                    <w:szCs w:val="24"/>
                  </w:rPr>
                  <w:t xml:space="preserve"> (1936). </w:t>
                </w:r>
                <w:r>
                  <w:rPr>
                    <w:szCs w:val="24"/>
                  </w:rPr>
                  <w:t xml:space="preserve">His theatrical career concluded with </w:t>
                </w:r>
                <w:r w:rsidRPr="00D110DB">
                  <w:rPr>
                    <w:i/>
                    <w:szCs w:val="24"/>
                  </w:rPr>
                  <w:t>Marching Song</w:t>
                </w:r>
                <w:r w:rsidRPr="00D110DB">
                  <w:rPr>
                    <w:szCs w:val="24"/>
                  </w:rPr>
                  <w:t xml:space="preserve"> (1937), </w:t>
                </w:r>
                <w:r>
                  <w:rPr>
                    <w:szCs w:val="24"/>
                  </w:rPr>
                  <w:t>a social realist rendering of</w:t>
                </w:r>
                <w:r w:rsidRPr="00D110DB">
                  <w:rPr>
                    <w:szCs w:val="24"/>
                  </w:rPr>
                  <w:t xml:space="preserve"> an automotive plant strike. </w:t>
                </w:r>
              </w:p>
              <w:p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Returning to Hollywood, Lawson </w:t>
                </w:r>
                <w:r w:rsidRPr="00D110DB">
                  <w:rPr>
                    <w:szCs w:val="24"/>
                  </w:rPr>
                  <w:t xml:space="preserve">spent the next </w:t>
                </w:r>
                <w:r>
                  <w:rPr>
                    <w:szCs w:val="24"/>
                  </w:rPr>
                  <w:t>decade</w:t>
                </w:r>
                <w:r w:rsidRPr="00D110DB">
                  <w:rPr>
                    <w:szCs w:val="24"/>
                  </w:rPr>
                  <w:t xml:space="preserve"> writing screenplays and </w:t>
                </w:r>
                <w:r>
                  <w:rPr>
                    <w:szCs w:val="24"/>
                  </w:rPr>
                  <w:t>holding leadership positions in the</w:t>
                </w:r>
                <w:r w:rsidRPr="00D110DB">
                  <w:rPr>
                    <w:szCs w:val="24"/>
                  </w:rPr>
                  <w:t xml:space="preserve"> Communist Party. In 1947 he was one of the </w:t>
                </w:r>
                <w:r>
                  <w:rPr>
                    <w:szCs w:val="24"/>
                  </w:rPr>
                  <w:t>Hollywood Ten, a group comprised of individuals from the film industry who were purported Communists or sympathetic to revolutionary causes. Lawson testified before House Un-American Activities Committee (HUAC)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keepNext/>
                  <w:spacing w:line="240" w:lineRule="auto"/>
                  <w:ind w:firstLine="0"/>
                  <w:rPr>
                    <w:b/>
                    <w:szCs w:val="24"/>
                  </w:rPr>
                </w:pPr>
                <w:r>
                  <w:rPr>
                    <w:szCs w:val="24"/>
                  </w:rPr>
                  <w:t>Link</w:t>
                </w:r>
                <w:proofErr w:type="gramStart"/>
                <w:r>
                  <w:rPr>
                    <w:szCs w:val="24"/>
                  </w:rPr>
                  <w:t xml:space="preserve">: </w:t>
                </w:r>
                <w:r>
                  <w:rPr>
                    <w:b/>
                  </w:rPr>
                  <w:t>:</w:t>
                </w:r>
                <w:proofErr w:type="gramEnd"/>
                <w:r>
                  <w:rPr>
                    <w:b/>
                  </w:rPr>
                  <w:t xml:space="preserve"> </w:t>
                </w:r>
                <w:hyperlink r:id="rId10" w:history="1">
                  <w:r w:rsidRPr="00D5268D">
                    <w:rPr>
                      <w:rStyle w:val="Hyperlink"/>
                      <w:szCs w:val="24"/>
                    </w:rPr>
                    <w:t>http://www.authentichistory.com/1946-1960</w:t>
                  </w:r>
                  <w:r w:rsidRPr="00D5268D">
                    <w:rPr>
                      <w:rStyle w:val="Hyperlink"/>
                      <w:szCs w:val="24"/>
                    </w:rPr>
                    <w:t>/</w:t>
                  </w:r>
                  <w:r w:rsidRPr="00D5268D">
                    <w:rPr>
                      <w:rStyle w:val="Hyperlink"/>
                      <w:szCs w:val="24"/>
                    </w:rPr>
                    <w:t>4-cwhomefront/1-mccarthyism/John_H</w:t>
                  </w:r>
                  <w:r w:rsidRPr="00D5268D">
                    <w:rPr>
                      <w:rStyle w:val="Hyperlink"/>
                      <w:szCs w:val="24"/>
                    </w:rPr>
                    <w:t>o</w:t>
                  </w:r>
                  <w:r w:rsidRPr="00D5268D">
                    <w:rPr>
                      <w:rStyle w:val="Hyperlink"/>
                      <w:szCs w:val="24"/>
                    </w:rPr>
                    <w:t>ward_Lawson.html</w:t>
                  </w:r>
                </w:hyperlink>
              </w:p>
              <w:p w:rsidR="00D5268D" w:rsidRDefault="00D5268D" w:rsidP="00D5268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BD5772">
                  <w:t xml:space="preserve"> </w:t>
                </w:r>
                <w:r w:rsidRPr="00D5268D">
                  <w:rPr>
                    <w:b w:val="0"/>
                  </w:rPr>
                  <w:t>John Howard Lawson testifying before the House Un-American Activities Committee, 1947</w:t>
                </w:r>
              </w:p>
              <w:p w:rsidR="00D5268D" w:rsidRP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5268D">
                  <w:rPr>
                    <w:szCs w:val="24"/>
                  </w:rPr>
                  <w:t>Source</w:t>
                </w:r>
                <w:proofErr w:type="gramStart"/>
                <w:r w:rsidRPr="00D5268D">
                  <w:rPr>
                    <w:szCs w:val="24"/>
                  </w:rPr>
                  <w:t xml:space="preserve">: </w:t>
                </w:r>
                <w:r>
                  <w:rPr>
                    <w:b/>
                  </w:rPr>
                  <w:t>:</w:t>
                </w:r>
                <w:proofErr w:type="gramEnd"/>
                <w:r>
                  <w:rPr>
                    <w:b/>
                  </w:rPr>
                  <w:t xml:space="preserve"> </w:t>
                </w:r>
                <w:hyperlink r:id="rId11" w:history="1">
                  <w:r w:rsidRPr="00D5268D">
                    <w:rPr>
                      <w:rStyle w:val="Hyperlink"/>
                      <w:szCs w:val="24"/>
                    </w:rPr>
                    <w:t>http://www.authentichistory.com/1946-1960/4-cwhomefront/1-mccarthyism/John_Howard_Lawson.html</w:t>
                  </w:r>
                </w:hyperlink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Cited for contempt, </w:t>
                </w:r>
                <w:r>
                  <w:rPr>
                    <w:szCs w:val="24"/>
                  </w:rPr>
                  <w:t>he</w:t>
                </w:r>
                <w:r w:rsidRPr="00D110DB">
                  <w:rPr>
                    <w:szCs w:val="24"/>
                  </w:rPr>
                  <w:t xml:space="preserve"> spent two years in federal prison. His principal writings that followed were Marxist critical studies of United States culture. He died in San Francisco on 11 August 1977.</w:t>
                </w:r>
              </w:p>
              <w:p w:rsidR="00A439F4" w:rsidRDefault="00A439F4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:rsidR="00D5268D" w:rsidRDefault="00D5268D" w:rsidP="00C27FAB"/>
              <w:p w:rsidR="00D5268D" w:rsidRDefault="00D5268D" w:rsidP="00D5268D">
                <w:pPr>
                  <w:pStyle w:val="Heading1"/>
                  <w:outlineLvl w:val="0"/>
                </w:pPr>
                <w:r>
                  <w:t>List of Works</w:t>
                </w:r>
              </w:p>
              <w:p w:rsidR="00D5268D" w:rsidRDefault="00D5268D" w:rsidP="00D5268D">
                <w:pPr>
                  <w:pStyle w:val="Heading1"/>
                  <w:outlineLvl w:val="0"/>
                </w:pPr>
              </w:p>
              <w:p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Lawson, John Howard. (1923) </w:t>
                </w:r>
                <w:r>
                  <w:rPr>
                    <w:i/>
                  </w:rPr>
                  <w:t>Roger Bloomer</w:t>
                </w:r>
                <w:r>
                  <w:t>, New York: Thomas Seltzer.</w:t>
                </w:r>
              </w:p>
              <w:p w:rsidR="00D5268D" w:rsidRDefault="00D5268D" w:rsidP="00D5268D">
                <w:pPr>
                  <w:spacing w:line="480" w:lineRule="auto"/>
                  <w:ind w:left="720" w:hanging="720"/>
                  <w:rPr>
                    <w:u w:val="single"/>
                  </w:rPr>
                </w:pPr>
                <w:r>
                  <w:t xml:space="preserve">------ (1925) </w:t>
                </w:r>
                <w:r>
                  <w:rPr>
                    <w:i/>
                  </w:rPr>
                  <w:t>Processional</w:t>
                </w:r>
                <w:r>
                  <w:t>, New York: Thomas Seltzer.</w:t>
                </w:r>
              </w:p>
              <w:p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(1927) </w:t>
                </w:r>
                <w:r>
                  <w:rPr>
                    <w:i/>
                  </w:rPr>
                  <w:t>Loud Speaker</w:t>
                </w:r>
                <w:r>
                  <w:t>, New York: Macaulay.</w:t>
                </w:r>
              </w:p>
              <w:p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(1927) </w:t>
                </w:r>
                <w:r>
                  <w:rPr>
                    <w:i/>
                  </w:rPr>
                  <w:t>The International</w:t>
                </w:r>
                <w:r>
                  <w:t>, New York: Macaulay.</w:t>
                </w:r>
              </w:p>
              <w:p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(1932) </w:t>
                </w:r>
                <w:r>
                  <w:rPr>
                    <w:i/>
                  </w:rPr>
                  <w:t>Success Story</w:t>
                </w:r>
                <w:r>
                  <w:t>, New York: Farrar and Rinehart.</w:t>
                </w:r>
              </w:p>
              <w:p w:rsidR="00D5268D" w:rsidRDefault="00D5268D" w:rsidP="00D5268D">
                <w:r>
                  <w:t xml:space="preserve">------ (1934) </w:t>
                </w:r>
                <w:r>
                  <w:rPr>
                    <w:i/>
                  </w:rPr>
                  <w:t>With a Reckless Preface: Two Plays “The Pure of Heart” and “Gentlewoman,”</w:t>
                </w:r>
                <w:r>
                  <w:t xml:space="preserve"> New York: Farrar and Rinehart.</w:t>
                </w:r>
              </w:p>
              <w:p w:rsidR="00D5268D" w:rsidRPr="00B25141" w:rsidRDefault="00D5268D" w:rsidP="00D5268D">
                <w:pPr>
                  <w:rPr>
                    <w:i/>
                  </w:rPr>
                </w:pPr>
              </w:p>
              <w:p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(1936) </w:t>
                </w:r>
                <w:r>
                  <w:rPr>
                    <w:i/>
                  </w:rPr>
                  <w:t>Theory and Technique of Playwriting</w:t>
                </w:r>
                <w:r>
                  <w:t xml:space="preserve">, New York: G.P. Putnam’s. </w:t>
                </w:r>
              </w:p>
              <w:p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(1937) </w:t>
                </w:r>
                <w:r>
                  <w:rPr>
                    <w:i/>
                  </w:rPr>
                  <w:t>Marching Song</w:t>
                </w:r>
                <w:r>
                  <w:t>. New York: Dramatists Play Service.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BCA14C4A534314683F2BE5056C823F7"/>
              </w:placeholder>
            </w:sdtPr>
            <w:sdtEnd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sdtEndPr>
            <w:sdtContent>
              <w:p w:rsidR="00D5268D" w:rsidRDefault="00A439F4" w:rsidP="00D5268D">
                <w:pPr>
                  <w:pStyle w:val="EndnoteText"/>
                  <w:spacing w:line="240" w:lineRule="auto"/>
                  <w:ind w:firstLine="0"/>
                </w:pPr>
                <w:sdt>
                  <w:sdtPr>
                    <w:id w:val="888843595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 CITATION Ben00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 (Benoit)</w:t>
                    </w:r>
                    <w:r>
                      <w:fldChar w:fldCharType="end"/>
                    </w:r>
                  </w:sdtContent>
                </w:sdt>
              </w:p>
              <w:p w:rsidR="00D5268D" w:rsidRDefault="00A439F4" w:rsidP="00D5268D">
                <w:pPr>
                  <w:pStyle w:val="EndnoteText"/>
                  <w:spacing w:line="240" w:lineRule="auto"/>
                  <w:ind w:firstLine="0"/>
                </w:pPr>
                <w:sdt>
                  <w:sdtPr>
                    <w:id w:val="524832588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 CITATION Blo88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(Bloch)</w:t>
                    </w:r>
                    <w:r>
                      <w:fldChar w:fldCharType="end"/>
                    </w:r>
                  </w:sdtContent>
                </w:sdt>
              </w:p>
              <w:p w:rsidR="00D5268D" w:rsidRDefault="00A439F4" w:rsidP="00D5268D">
                <w:sdt>
                  <w:sdtPr>
                    <w:id w:val="-1295530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Cha06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(Chambers)</w:t>
                    </w:r>
                    <w:r>
                      <w:fldChar w:fldCharType="end"/>
                    </w:r>
                  </w:sdtContent>
                </w:sdt>
              </w:p>
              <w:p w:rsidR="003235A7" w:rsidRDefault="00A439F4" w:rsidP="00FB11DE">
                <w:sdt>
                  <w:sdtPr>
                    <w:id w:val="-10818334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Hor06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(Horne)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68D" w:rsidRDefault="00D5268D" w:rsidP="007A0D55">
      <w:pPr>
        <w:spacing w:after="0" w:line="240" w:lineRule="auto"/>
      </w:pPr>
      <w:r>
        <w:separator/>
      </w:r>
    </w:p>
  </w:endnote>
  <w:endnote w:type="continuationSeparator" w:id="0">
    <w:p w:rsidR="00D5268D" w:rsidRDefault="00D526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68D" w:rsidRDefault="00D5268D" w:rsidP="007A0D55">
      <w:pPr>
        <w:spacing w:after="0" w:line="240" w:lineRule="auto"/>
      </w:pPr>
      <w:r>
        <w:separator/>
      </w:r>
    </w:p>
  </w:footnote>
  <w:footnote w:type="continuationSeparator" w:id="0">
    <w:p w:rsidR="00D5268D" w:rsidRDefault="00D526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8D" w:rsidRDefault="00D5268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D5268D" w:rsidRDefault="00D526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E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05E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39F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268D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05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EF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D5268D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5268D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CommentReference">
    <w:name w:val="annotation reference"/>
    <w:uiPriority w:val="99"/>
    <w:semiHidden/>
    <w:unhideWhenUsed/>
    <w:rsid w:val="00D52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68D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68D"/>
    <w:rPr>
      <w:rFonts w:ascii="Times New Roman" w:eastAsia="Times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D5268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caption0">
    <w:name w:val="caption"/>
    <w:rsid w:val="00D5268D"/>
  </w:style>
  <w:style w:type="character" w:styleId="Hyperlink">
    <w:name w:val="Hyperlink"/>
    <w:uiPriority w:val="99"/>
    <w:unhideWhenUsed/>
    <w:rsid w:val="00D526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05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EF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D5268D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5268D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CommentReference">
    <w:name w:val="annotation reference"/>
    <w:uiPriority w:val="99"/>
    <w:semiHidden/>
    <w:unhideWhenUsed/>
    <w:rsid w:val="00D52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68D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68D"/>
    <w:rPr>
      <w:rFonts w:ascii="Times New Roman" w:eastAsia="Times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D5268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caption0">
    <w:name w:val="caption"/>
    <w:rsid w:val="00D5268D"/>
  </w:style>
  <w:style w:type="character" w:styleId="Hyperlink">
    <w:name w:val="Hyperlink"/>
    <w:uiPriority w:val="99"/>
    <w:unhideWhenUsed/>
    <w:rsid w:val="00D52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uthentichistory.com/1946-1960/4-cwhomefront/1-mccarthyism/John_Howard_Lawson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igitalgallery.nypl.org/nypldigital/dgkeysearchdetail.cfm?trg=1&amp;strucID=1888666&amp;imageID=psnypl_the_5354&amp;total=19&amp;num=0&amp;word=processional&amp;s=1&amp;notword=&amp;d=&amp;c=&amp;f=&amp;k=1&amp;lWord=&amp;lField=&amp;sScope=&amp;sLevel=&amp;sLabel=&amp;sort=&amp;imgs=20&amp;pos=2&amp;e=w" TargetMode="External"/><Relationship Id="rId10" Type="http://schemas.openxmlformats.org/officeDocument/2006/relationships/hyperlink" Target="http://www.authentichistory.com/1946-1960/4-cwhomefront/1-mccarthyism/John_Howard_Laws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0F10820D8328458171AE112F5F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C514-9B37-FC40-9BF3-F0B4A0AC9507}"/>
      </w:docPartPr>
      <w:docPartBody>
        <w:p w:rsidR="00000000" w:rsidRDefault="004E117A">
          <w:pPr>
            <w:pStyle w:val="450F10820D8328458171AE112F5F9FE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1E29CD2305EF4D8C9416B544C6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6E266-9AF9-1E40-B21D-99F5846F9B04}"/>
      </w:docPartPr>
      <w:docPartBody>
        <w:p w:rsidR="00000000" w:rsidRDefault="004E117A">
          <w:pPr>
            <w:pStyle w:val="8C1E29CD2305EF4D8C9416B544C68C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1B3AE54185E244B885628D4B47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A2BB-7FA3-984E-9347-6FFE2BF1380E}"/>
      </w:docPartPr>
      <w:docPartBody>
        <w:p w:rsidR="00000000" w:rsidRDefault="004E117A">
          <w:pPr>
            <w:pStyle w:val="B41B3AE54185E244B885628D4B47B0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9C3132494A34458E6893F54643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93DC-76F4-254D-8A71-E366992FD213}"/>
      </w:docPartPr>
      <w:docPartBody>
        <w:p w:rsidR="00000000" w:rsidRDefault="004E117A">
          <w:pPr>
            <w:pStyle w:val="6B9C3132494A34458E6893F5464370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C7B1D816F17F46A9782D6B0317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9E8A1-2B7B-2549-9782-2CC249396F21}"/>
      </w:docPartPr>
      <w:docPartBody>
        <w:p w:rsidR="00000000" w:rsidRDefault="004E117A">
          <w:pPr>
            <w:pStyle w:val="81C7B1D816F17F46A9782D6B0317F9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F2BE73729114448162F0C313ECF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C7E87-AC4C-8849-A3B9-DEE3E8C94EC9}"/>
      </w:docPartPr>
      <w:docPartBody>
        <w:p w:rsidR="00000000" w:rsidRDefault="004E117A">
          <w:pPr>
            <w:pStyle w:val="83F2BE73729114448162F0C313ECFA2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D88782AE9E94FAAC546B47DCAE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A04A-AC88-AB4E-BE39-A5CAF91E74CE}"/>
      </w:docPartPr>
      <w:docPartBody>
        <w:p w:rsidR="00000000" w:rsidRDefault="004E117A">
          <w:pPr>
            <w:pStyle w:val="F79D88782AE9E94FAAC546B47DCAE3D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F60118A1BC2F04FB4B175D1BA47B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F3E5-8FC8-FF45-A067-34384B592A6C}"/>
      </w:docPartPr>
      <w:docPartBody>
        <w:p w:rsidR="00000000" w:rsidRDefault="004E117A">
          <w:pPr>
            <w:pStyle w:val="9F60118A1BC2F04FB4B175D1BA47B3F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E1CA3544A05BD4CB5648D45E9FE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40E3-D17F-D24F-BF1E-5E34FD70E78B}"/>
      </w:docPartPr>
      <w:docPartBody>
        <w:p w:rsidR="00000000" w:rsidRDefault="004E117A">
          <w:pPr>
            <w:pStyle w:val="9E1CA3544A05BD4CB5648D45E9FE81C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E57B9528B0B74A9115D8B35BB00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7BC2-0314-6B41-A548-3F2DB59D5664}"/>
      </w:docPartPr>
      <w:docPartBody>
        <w:p w:rsidR="00000000" w:rsidRDefault="004E117A">
          <w:pPr>
            <w:pStyle w:val="02E57B9528B0B74A9115D8B35BB00E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CA14C4A534314683F2BE5056C82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0F555-B9F9-F34A-80A7-A70780F1BFD0}"/>
      </w:docPartPr>
      <w:docPartBody>
        <w:p w:rsidR="00000000" w:rsidRDefault="004E117A">
          <w:pPr>
            <w:pStyle w:val="5BCA14C4A534314683F2BE5056C823F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0F10820D8328458171AE112F5F9FE0">
    <w:name w:val="450F10820D8328458171AE112F5F9FE0"/>
  </w:style>
  <w:style w:type="paragraph" w:customStyle="1" w:styleId="8C1E29CD2305EF4D8C9416B544C68C83">
    <w:name w:val="8C1E29CD2305EF4D8C9416B544C68C83"/>
  </w:style>
  <w:style w:type="paragraph" w:customStyle="1" w:styleId="B41B3AE54185E244B885628D4B47B061">
    <w:name w:val="B41B3AE54185E244B885628D4B47B061"/>
  </w:style>
  <w:style w:type="paragraph" w:customStyle="1" w:styleId="6B9C3132494A34458E6893F5464370EB">
    <w:name w:val="6B9C3132494A34458E6893F5464370EB"/>
  </w:style>
  <w:style w:type="paragraph" w:customStyle="1" w:styleId="81C7B1D816F17F46A9782D6B0317F984">
    <w:name w:val="81C7B1D816F17F46A9782D6B0317F984"/>
  </w:style>
  <w:style w:type="paragraph" w:customStyle="1" w:styleId="83F2BE73729114448162F0C313ECFA29">
    <w:name w:val="83F2BE73729114448162F0C313ECFA29"/>
  </w:style>
  <w:style w:type="paragraph" w:customStyle="1" w:styleId="F79D88782AE9E94FAAC546B47DCAE3D9">
    <w:name w:val="F79D88782AE9E94FAAC546B47DCAE3D9"/>
  </w:style>
  <w:style w:type="paragraph" w:customStyle="1" w:styleId="9F60118A1BC2F04FB4B175D1BA47B3F6">
    <w:name w:val="9F60118A1BC2F04FB4B175D1BA47B3F6"/>
  </w:style>
  <w:style w:type="paragraph" w:customStyle="1" w:styleId="9E1CA3544A05BD4CB5648D45E9FE81C3">
    <w:name w:val="9E1CA3544A05BD4CB5648D45E9FE81C3"/>
  </w:style>
  <w:style w:type="paragraph" w:customStyle="1" w:styleId="02E57B9528B0B74A9115D8B35BB00EA3">
    <w:name w:val="02E57B9528B0B74A9115D8B35BB00EA3"/>
  </w:style>
  <w:style w:type="paragraph" w:customStyle="1" w:styleId="5BCA14C4A534314683F2BE5056C823F7">
    <w:name w:val="5BCA14C4A534314683F2BE5056C823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0F10820D8328458171AE112F5F9FE0">
    <w:name w:val="450F10820D8328458171AE112F5F9FE0"/>
  </w:style>
  <w:style w:type="paragraph" w:customStyle="1" w:styleId="8C1E29CD2305EF4D8C9416B544C68C83">
    <w:name w:val="8C1E29CD2305EF4D8C9416B544C68C83"/>
  </w:style>
  <w:style w:type="paragraph" w:customStyle="1" w:styleId="B41B3AE54185E244B885628D4B47B061">
    <w:name w:val="B41B3AE54185E244B885628D4B47B061"/>
  </w:style>
  <w:style w:type="paragraph" w:customStyle="1" w:styleId="6B9C3132494A34458E6893F5464370EB">
    <w:name w:val="6B9C3132494A34458E6893F5464370EB"/>
  </w:style>
  <w:style w:type="paragraph" w:customStyle="1" w:styleId="81C7B1D816F17F46A9782D6B0317F984">
    <w:name w:val="81C7B1D816F17F46A9782D6B0317F984"/>
  </w:style>
  <w:style w:type="paragraph" w:customStyle="1" w:styleId="83F2BE73729114448162F0C313ECFA29">
    <w:name w:val="83F2BE73729114448162F0C313ECFA29"/>
  </w:style>
  <w:style w:type="paragraph" w:customStyle="1" w:styleId="F79D88782AE9E94FAAC546B47DCAE3D9">
    <w:name w:val="F79D88782AE9E94FAAC546B47DCAE3D9"/>
  </w:style>
  <w:style w:type="paragraph" w:customStyle="1" w:styleId="9F60118A1BC2F04FB4B175D1BA47B3F6">
    <w:name w:val="9F60118A1BC2F04FB4B175D1BA47B3F6"/>
  </w:style>
  <w:style w:type="paragraph" w:customStyle="1" w:styleId="9E1CA3544A05BD4CB5648D45E9FE81C3">
    <w:name w:val="9E1CA3544A05BD4CB5648D45E9FE81C3"/>
  </w:style>
  <w:style w:type="paragraph" w:customStyle="1" w:styleId="02E57B9528B0B74A9115D8B35BB00EA3">
    <w:name w:val="02E57B9528B0B74A9115D8B35BB00EA3"/>
  </w:style>
  <w:style w:type="paragraph" w:customStyle="1" w:styleId="5BCA14C4A534314683F2BE5056C823F7">
    <w:name w:val="5BCA14C4A534314683F2BE5056C82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Ben00</b:Tag>
    <b:SourceType>Book</b:SourceType>
    <b:Guid>{6CC0BBE1-E606-1F40-902A-6B14BA5C90CF}</b:Guid>
    <b:Author>
      <b:Author>
        <b:NameList>
          <b:Person>
            <b:Last>Benoit</b:Last>
            <b:First>Richard</b:First>
            <b:Middle>Peter</b:Middle>
          </b:Person>
        </b:NameList>
      </b:Author>
    </b:Author>
    <b:Title>A Hegemonic Analysis of John Howard Lawson and the New Playwrights Theatre</b:Title>
    <b:Publisher>Kent State University</b:Publisher>
    <b:City>Diss</b:City>
    <b:Year>2000</b:Year>
    <b:RefOrder>1</b:RefOrder>
  </b:Source>
  <b:Source>
    <b:Tag>Blo88</b:Tag>
    <b:SourceType>Book</b:SourceType>
    <b:Guid>{0B0933B5-1216-D24D-8280-28B65270C615}</b:Guid>
    <b:Author>
      <b:Author>
        <b:NameList>
          <b:Person>
            <b:Last>Bloch</b:Last>
            <b:First>Beverle</b:First>
            <b:Middle>Rochelle</b:Middle>
          </b:Person>
        </b:NameList>
      </b:Author>
    </b:Author>
    <b:Title>John Howard Lawson’s Processional: Modernism in American Theatre in the Twenties</b:Title>
    <b:City>Diss</b:City>
    <b:Publisher>University of Denver</b:Publisher>
    <b:Year>1988</b:Year>
    <b:RefOrder>2</b:RefOrder>
  </b:Source>
  <b:Source>
    <b:Tag>Cha06</b:Tag>
    <b:SourceType>Book</b:SourceType>
    <b:Guid>{F862B6A3-31B6-064F-A507-F6AC73D36587}</b:Guid>
    <b:Author>
      <b:Author>
        <b:NameList>
          <b:Person>
            <b:Last>Chambers</b:Last>
            <b:First>Jonathan</b:First>
            <b:Middle>L.</b:Middle>
          </b:Person>
        </b:NameList>
      </b:Author>
    </b:Author>
    <b:Title>Messiah of the New Technique: John Howard Lawson, Communism, and American Theatre, 1923-1937</b:Title>
    <b:City>Carbondale</b:City>
    <b:Publisher>Southern Illinois University Press</b:Publisher>
    <b:Year>2006</b:Year>
    <b:RefOrder>3</b:RefOrder>
  </b:Source>
  <b:Source>
    <b:Tag>Hor06</b:Tag>
    <b:SourceType>Book</b:SourceType>
    <b:Guid>{FC8E78B8-DC60-604E-A820-E426BEF76A50}</b:Guid>
    <b:Author>
      <b:Author>
        <b:NameList>
          <b:Person>
            <b:Last>Horne</b:Last>
            <b:First>Gerald</b:First>
          </b:Person>
        </b:NameList>
      </b:Author>
    </b:Author>
    <b:Title>The Final Victim of the Blacklist: John Howard Lawson, Dean of the Hollywood Ten</b:Title>
    <b:City>Oakland</b:City>
    <b:Publisher>University of California Press</b:Publisher>
    <b:Year>2006</b:Year>
    <b:RefOrder>4</b:RefOrder>
  </b:Source>
</b:Sources>
</file>

<file path=customXml/itemProps1.xml><?xml version="1.0" encoding="utf-8"?>
<ds:datastoreItem xmlns:ds="http://schemas.openxmlformats.org/officeDocument/2006/customXml" ds:itemID="{A031D589-560C-1646-8F40-62E451A3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713</Words>
  <Characters>4067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2015-10-24T18:48:00Z</dcterms:created>
  <dcterms:modified xsi:type="dcterms:W3CDTF">2015-10-24T19:20:00Z</dcterms:modified>
</cp:coreProperties>
</file>