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9F4245" w14:paraId="7F8AF1B5" w14:textId="77777777" w:rsidTr="00922950">
        <w:tc>
          <w:tcPr>
            <w:tcW w:w="491" w:type="dxa"/>
            <w:vMerge w:val="restart"/>
            <w:shd w:val="clear" w:color="auto" w:fill="A6A6A6" w:themeFill="background1" w:themeFillShade="A6"/>
            <w:textDirection w:val="btLr"/>
          </w:tcPr>
          <w:p w14:paraId="046D1638" w14:textId="77777777" w:rsidR="00B574C9" w:rsidRPr="009F4245" w:rsidRDefault="00B574C9" w:rsidP="00CC586D">
            <w:pPr>
              <w:jc w:val="center"/>
              <w:rPr>
                <w:color w:val="FFFFFF" w:themeColor="background1"/>
              </w:rPr>
            </w:pPr>
            <w:r w:rsidRPr="009F4245">
              <w:rPr>
                <w:color w:val="FFFFFF" w:themeColor="background1"/>
              </w:rPr>
              <w:t>About you</w:t>
            </w:r>
          </w:p>
        </w:tc>
        <w:sdt>
          <w:sdtPr>
            <w:rPr>
              <w:color w:val="FFFFFF" w:themeColor="background1"/>
            </w:rPr>
            <w:alias w:val="Salutation"/>
            <w:tag w:val="salutation"/>
            <w:id w:val="-1659997262"/>
            <w:placeholder>
              <w:docPart w:val="645B2BC9C165634A82430FAB163E3493"/>
            </w:placeholder>
            <w:showingPlcHdr/>
            <w:dropDownList>
              <w:listItem w:displayText="Dr." w:value="Dr."/>
              <w:listItem w:displayText="Prof." w:value="Prof."/>
            </w:dropDownList>
          </w:sdtPr>
          <w:sdtEndPr/>
          <w:sdtContent>
            <w:tc>
              <w:tcPr>
                <w:tcW w:w="1259" w:type="dxa"/>
              </w:tcPr>
              <w:p w14:paraId="67FA2182" w14:textId="77777777" w:rsidR="00B574C9" w:rsidRPr="009F4245" w:rsidRDefault="00B574C9" w:rsidP="00CC586D">
                <w:pPr>
                  <w:jc w:val="center"/>
                  <w:rPr>
                    <w:color w:val="FFFFFF" w:themeColor="background1"/>
                  </w:rPr>
                </w:pPr>
                <w:r w:rsidRPr="009F4245">
                  <w:rPr>
                    <w:rStyle w:val="PlaceholderText"/>
                    <w:color w:val="FFFFFF" w:themeColor="background1"/>
                  </w:rPr>
                  <w:t>[Salutation]</w:t>
                </w:r>
              </w:p>
            </w:tc>
          </w:sdtContent>
        </w:sdt>
        <w:sdt>
          <w:sdtPr>
            <w:alias w:val="First name"/>
            <w:tag w:val="authorFirstName"/>
            <w:id w:val="581645879"/>
            <w:placeholder>
              <w:docPart w:val="64EE7E6DA29BC34DBE231AD8CBE93638"/>
            </w:placeholder>
            <w:text/>
          </w:sdtPr>
          <w:sdtEndPr/>
          <w:sdtContent>
            <w:tc>
              <w:tcPr>
                <w:tcW w:w="2073" w:type="dxa"/>
              </w:tcPr>
              <w:p w14:paraId="01E456CA" w14:textId="77777777" w:rsidR="00B574C9" w:rsidRPr="009F4245" w:rsidRDefault="007A7DC7" w:rsidP="007A7DC7">
                <w:r>
                  <w:t>Nataly</w:t>
                </w:r>
              </w:p>
            </w:tc>
          </w:sdtContent>
        </w:sdt>
        <w:sdt>
          <w:sdtPr>
            <w:alias w:val="Middle name"/>
            <w:tag w:val="authorMiddleName"/>
            <w:id w:val="-2076034781"/>
            <w:placeholder>
              <w:docPart w:val="6136FB07704F144088410666AA310272"/>
            </w:placeholder>
            <w:showingPlcHdr/>
            <w:text/>
          </w:sdtPr>
          <w:sdtEndPr/>
          <w:sdtContent>
            <w:tc>
              <w:tcPr>
                <w:tcW w:w="2551" w:type="dxa"/>
              </w:tcPr>
              <w:p w14:paraId="2FE23FB4" w14:textId="77777777" w:rsidR="00B574C9" w:rsidRPr="009F4245" w:rsidRDefault="00B574C9" w:rsidP="00922950">
                <w:r w:rsidRPr="009F4245">
                  <w:rPr>
                    <w:rStyle w:val="PlaceholderText"/>
                  </w:rPr>
                  <w:t>[Middle name]</w:t>
                </w:r>
              </w:p>
            </w:tc>
          </w:sdtContent>
        </w:sdt>
        <w:sdt>
          <w:sdtPr>
            <w:alias w:val="Last name"/>
            <w:tag w:val="authorLastName"/>
            <w:id w:val="-1088529830"/>
            <w:placeholder>
              <w:docPart w:val="B8759147BCAB75458A0FA352679613A5"/>
            </w:placeholder>
            <w:text/>
          </w:sdtPr>
          <w:sdtEndPr/>
          <w:sdtContent>
            <w:tc>
              <w:tcPr>
                <w:tcW w:w="2642" w:type="dxa"/>
              </w:tcPr>
              <w:p w14:paraId="15B29857" w14:textId="77777777" w:rsidR="00B574C9" w:rsidRPr="009F4245" w:rsidRDefault="007A7DC7" w:rsidP="007A7DC7">
                <w:r w:rsidRPr="00D95915">
                  <w:rPr>
                    <w:rFonts w:ascii="Times New Roman" w:eastAsiaTheme="minorEastAsia" w:hAnsi="Times New Roman" w:cs="Times New Roman"/>
                    <w:sz w:val="24"/>
                    <w:szCs w:val="24"/>
                    <w:lang w:val="en-CA" w:eastAsia="ja-JP"/>
                  </w:rPr>
                  <w:t>Tcherepashenets</w:t>
                </w:r>
              </w:p>
            </w:tc>
          </w:sdtContent>
        </w:sdt>
      </w:tr>
      <w:tr w:rsidR="00B574C9" w:rsidRPr="009F4245" w14:paraId="4B4433C2" w14:textId="77777777" w:rsidTr="001A6A06">
        <w:trPr>
          <w:trHeight w:val="986"/>
        </w:trPr>
        <w:tc>
          <w:tcPr>
            <w:tcW w:w="491" w:type="dxa"/>
            <w:vMerge/>
            <w:shd w:val="clear" w:color="auto" w:fill="A6A6A6" w:themeFill="background1" w:themeFillShade="A6"/>
          </w:tcPr>
          <w:p w14:paraId="10679E20" w14:textId="77777777" w:rsidR="00B574C9" w:rsidRPr="009F4245" w:rsidRDefault="00B574C9" w:rsidP="00CF1542">
            <w:pPr>
              <w:jc w:val="center"/>
              <w:rPr>
                <w:color w:val="FFFFFF" w:themeColor="background1"/>
              </w:rPr>
            </w:pPr>
          </w:p>
        </w:tc>
        <w:sdt>
          <w:sdtPr>
            <w:alias w:val="Biography"/>
            <w:tag w:val="authorBiography"/>
            <w:id w:val="938807824"/>
            <w:placeholder>
              <w:docPart w:val="746566E5615571498698EA081C31D825"/>
            </w:placeholder>
            <w:showingPlcHdr/>
          </w:sdtPr>
          <w:sdtEndPr/>
          <w:sdtContent>
            <w:tc>
              <w:tcPr>
                <w:tcW w:w="8525" w:type="dxa"/>
                <w:gridSpan w:val="4"/>
              </w:tcPr>
              <w:p w14:paraId="7229DE5B" w14:textId="77777777" w:rsidR="00B574C9" w:rsidRPr="009F4245" w:rsidRDefault="00B574C9" w:rsidP="00922950">
                <w:r w:rsidRPr="009F4245">
                  <w:rPr>
                    <w:rStyle w:val="PlaceholderText"/>
                  </w:rPr>
                  <w:t>[Enter your biography]</w:t>
                </w:r>
              </w:p>
            </w:tc>
          </w:sdtContent>
        </w:sdt>
      </w:tr>
      <w:tr w:rsidR="00B574C9" w:rsidRPr="009F4245" w14:paraId="7B6A17B6" w14:textId="77777777" w:rsidTr="001A6A06">
        <w:trPr>
          <w:trHeight w:val="986"/>
        </w:trPr>
        <w:tc>
          <w:tcPr>
            <w:tcW w:w="491" w:type="dxa"/>
            <w:vMerge/>
            <w:shd w:val="clear" w:color="auto" w:fill="A6A6A6" w:themeFill="background1" w:themeFillShade="A6"/>
          </w:tcPr>
          <w:p w14:paraId="12826622" w14:textId="77777777" w:rsidR="00B574C9" w:rsidRPr="009F4245" w:rsidRDefault="00B574C9" w:rsidP="00CF1542">
            <w:pPr>
              <w:jc w:val="center"/>
              <w:rPr>
                <w:color w:val="FFFFFF" w:themeColor="background1"/>
              </w:rPr>
            </w:pPr>
          </w:p>
        </w:tc>
        <w:sdt>
          <w:sdtPr>
            <w:alias w:val="Affiliation"/>
            <w:tag w:val="affiliation"/>
            <w:id w:val="2012937915"/>
            <w:placeholder>
              <w:docPart w:val="73A04FD0109CCE4AAA316EABCE84E5BB"/>
            </w:placeholder>
            <w:text/>
          </w:sdtPr>
          <w:sdtEndPr/>
          <w:sdtContent>
            <w:tc>
              <w:tcPr>
                <w:tcW w:w="8525" w:type="dxa"/>
                <w:gridSpan w:val="4"/>
              </w:tcPr>
              <w:p w14:paraId="2F94D2DC" w14:textId="77777777" w:rsidR="00B574C9" w:rsidRPr="009F4245" w:rsidRDefault="007A7DC7" w:rsidP="007A7DC7">
                <w:r>
                  <w:t>SUNY Empire State College</w:t>
                </w:r>
              </w:p>
            </w:tc>
          </w:sdtContent>
        </w:sdt>
      </w:tr>
    </w:tbl>
    <w:p w14:paraId="301CA07F" w14:textId="77777777" w:rsidR="003D3579" w:rsidRPr="009F424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F4245" w14:paraId="78903375" w14:textId="77777777" w:rsidTr="00244BB0">
        <w:tc>
          <w:tcPr>
            <w:tcW w:w="9016" w:type="dxa"/>
            <w:shd w:val="clear" w:color="auto" w:fill="A6A6A6" w:themeFill="background1" w:themeFillShade="A6"/>
            <w:tcMar>
              <w:top w:w="113" w:type="dxa"/>
              <w:bottom w:w="113" w:type="dxa"/>
            </w:tcMar>
          </w:tcPr>
          <w:p w14:paraId="5545F9E2" w14:textId="77777777" w:rsidR="00244BB0" w:rsidRPr="009F4245" w:rsidRDefault="00244BB0" w:rsidP="00244BB0">
            <w:pPr>
              <w:jc w:val="center"/>
              <w:rPr>
                <w:color w:val="FFFFFF" w:themeColor="background1"/>
              </w:rPr>
            </w:pPr>
            <w:r w:rsidRPr="009F4245">
              <w:rPr>
                <w:color w:val="FFFFFF" w:themeColor="background1"/>
              </w:rPr>
              <w:t>Your article</w:t>
            </w:r>
          </w:p>
        </w:tc>
      </w:tr>
      <w:tr w:rsidR="003F0D73" w:rsidRPr="009F4245" w14:paraId="26F2BFA9" w14:textId="77777777" w:rsidTr="003F0D73">
        <w:sdt>
          <w:sdtPr>
            <w:alias w:val="Article headword"/>
            <w:tag w:val="articleHeadword"/>
            <w:id w:val="-361440020"/>
            <w:placeholder>
              <w:docPart w:val="A5F5F07C9D8E244CB353EE5B0EA35C01"/>
            </w:placeholder>
            <w:text/>
          </w:sdtPr>
          <w:sdtEndPr/>
          <w:sdtContent>
            <w:tc>
              <w:tcPr>
                <w:tcW w:w="9016" w:type="dxa"/>
                <w:tcMar>
                  <w:top w:w="113" w:type="dxa"/>
                  <w:bottom w:w="113" w:type="dxa"/>
                </w:tcMar>
              </w:tcPr>
              <w:p w14:paraId="4F12FFF8" w14:textId="77777777" w:rsidR="003F0D73" w:rsidRPr="009F4245" w:rsidRDefault="007A7DC7" w:rsidP="007A7DC7">
                <w:r>
                  <w:t>B</w:t>
                </w:r>
                <w:r w:rsidRPr="009F4245">
                  <w:rPr>
                    <w:rFonts w:cs="Times New Roman"/>
                    <w:lang w:val="en-US"/>
                  </w:rPr>
                  <w:t>orges</w:t>
                </w:r>
                <w:r>
                  <w:rPr>
                    <w:rFonts w:cs="Times New Roman"/>
                    <w:lang w:val="en-US"/>
                  </w:rPr>
                  <w:t xml:space="preserve">, </w:t>
                </w:r>
                <w:r w:rsidRPr="00254CC7">
                  <w:rPr>
                    <w:rFonts w:eastAsiaTheme="minorEastAsia" w:cs="Times New Roman"/>
                    <w:sz w:val="24"/>
                    <w:szCs w:val="24"/>
                    <w:lang w:val="en-US" w:eastAsia="ja-JP"/>
                  </w:rPr>
                  <w:t>Jorge Luis</w:t>
                </w:r>
                <w:r w:rsidRPr="009F4245">
                  <w:rPr>
                    <w:rFonts w:cs="Times New Roman"/>
                    <w:lang w:val="en-US"/>
                  </w:rPr>
                  <w:t xml:space="preserve"> (1899-1986)</w:t>
                </w:r>
              </w:p>
            </w:tc>
          </w:sdtContent>
        </w:sdt>
      </w:tr>
      <w:tr w:rsidR="00464699" w:rsidRPr="009F4245" w14:paraId="6DAD9171" w14:textId="77777777" w:rsidTr="007821B0">
        <w:sdt>
          <w:sdtPr>
            <w:alias w:val="Variant headwords"/>
            <w:tag w:val="variantHeadwords"/>
            <w:id w:val="173464402"/>
            <w:placeholder>
              <w:docPart w:val="D58B932C823C584C91EEAF749D4599C4"/>
            </w:placeholder>
            <w:showingPlcHdr/>
          </w:sdtPr>
          <w:sdtEndPr/>
          <w:sdtContent>
            <w:tc>
              <w:tcPr>
                <w:tcW w:w="9016" w:type="dxa"/>
                <w:tcMar>
                  <w:top w:w="113" w:type="dxa"/>
                  <w:bottom w:w="113" w:type="dxa"/>
                </w:tcMar>
              </w:tcPr>
              <w:p w14:paraId="49AF85D1" w14:textId="77777777" w:rsidR="00464699" w:rsidRPr="009F4245" w:rsidRDefault="00464699" w:rsidP="00464699">
                <w:r w:rsidRPr="009F4245">
                  <w:rPr>
                    <w:rStyle w:val="PlaceholderText"/>
                  </w:rPr>
                  <w:t xml:space="preserve">[Enter any </w:t>
                </w:r>
                <w:r w:rsidRPr="009F4245">
                  <w:rPr>
                    <w:rStyle w:val="PlaceholderText"/>
                    <w:i/>
                  </w:rPr>
                  <w:t>variant forms</w:t>
                </w:r>
                <w:r w:rsidRPr="009F4245">
                  <w:rPr>
                    <w:rStyle w:val="PlaceholderText"/>
                  </w:rPr>
                  <w:t xml:space="preserve"> of your headword – OPTIONAL]</w:t>
                </w:r>
              </w:p>
            </w:tc>
          </w:sdtContent>
        </w:sdt>
      </w:tr>
      <w:tr w:rsidR="00E85A05" w:rsidRPr="009F4245" w14:paraId="549F0C56" w14:textId="77777777" w:rsidTr="003F0D73">
        <w:sdt>
          <w:sdtPr>
            <w:alias w:val="Abstract"/>
            <w:tag w:val="abstract"/>
            <w:id w:val="-635871867"/>
            <w:placeholder>
              <w:docPart w:val="13D5149D9ABC7B459079363B3A9D548F"/>
            </w:placeholder>
          </w:sdtPr>
          <w:sdtEndPr/>
          <w:sdtContent>
            <w:tc>
              <w:tcPr>
                <w:tcW w:w="9016" w:type="dxa"/>
                <w:tcMar>
                  <w:top w:w="113" w:type="dxa"/>
                  <w:bottom w:w="113" w:type="dxa"/>
                </w:tcMar>
              </w:tcPr>
              <w:p w14:paraId="36B1992F" w14:textId="77777777" w:rsidR="009F4245" w:rsidRPr="009F4245" w:rsidRDefault="009F4245" w:rsidP="009F4245">
                <w:pPr>
                  <w:rPr>
                    <w:rFonts w:cs="Times New Roman"/>
                  </w:rPr>
                </w:pPr>
                <w:r w:rsidRPr="009F4245">
                  <w:rPr>
                    <w:rFonts w:cs="Times New Roman"/>
                  </w:rPr>
                  <w:t>J</w:t>
                </w:r>
                <w:commentRangeStart w:id="0"/>
                <w:r w:rsidRPr="009F4245">
                  <w:rPr>
                    <w:rFonts w:cs="Times New Roman"/>
                  </w:rPr>
                  <w:t>orge Luis Borges</w:t>
                </w:r>
                <w:commentRangeEnd w:id="0"/>
                <w:r w:rsidR="00FC0AB2">
                  <w:rPr>
                    <w:rStyle w:val="CommentReference"/>
                  </w:rPr>
                  <w:commentReference w:id="0"/>
                </w:r>
                <w:r w:rsidRPr="009F4245">
                  <w:rPr>
                    <w:rFonts w:cs="Times New Roman"/>
                  </w:rPr>
                  <w:t xml:space="preserve"> is among the writers who have brought international fame to Latin American Literature. A fabulist, poet, essayist and translator, Borges shaped modern literary perception and became a classic of modern letters. His influential concept of writing as rewriting and his view that each word or group of words has a determinant impact on literature’s effectiveness are crucial to understanding of his texts, and exemplify a modern approach to literary theory. </w:t>
                </w:r>
              </w:p>
              <w:p w14:paraId="564E60BC" w14:textId="77777777" w:rsidR="009F4245" w:rsidRPr="009F4245" w:rsidRDefault="009F4245" w:rsidP="009F4245">
                <w:pPr>
                  <w:rPr>
                    <w:rFonts w:cs="Times New Roman"/>
                  </w:rPr>
                </w:pPr>
              </w:p>
              <w:p w14:paraId="17E20323" w14:textId="77777777" w:rsidR="00E85A05" w:rsidRPr="009F4245" w:rsidRDefault="009F4245" w:rsidP="009F4245">
                <w:r w:rsidRPr="009F4245">
                  <w:rPr>
                    <w:rFonts w:cs="Times New Roman"/>
                  </w:rPr>
                  <w:t>Borges, whose ancestors were among the first Europeans to arrive in America, was born in Buenos Aires, Argentina. His father, Jorge Guillermo Borges, a lawyer and psychology teacher with anarchist views, taught Jorge Luis philosophy. His mother, Leonor Acevedo de Borges, a proud descendant of a long line of soldiers and freedom fighters, was a dedicated companion to her son until her death at the age of 99. Her help was indispensable, especially when Jorge Luis’s blindness made it very difficult for him to read and write. Two years after Jorge Luis’ birth, his sister Norah, his closest childhood friend and his first illustrator, was born. Both English and Spanish were used in Borges’s house, and he learned to read English before he could read Spanish. This knowledge played a key role in his work as a translator. He introduced James Joyce, Joseph Conrad, Virginia Wolf, and William Faulkner to the Spanish-speaking world.</w:t>
                </w:r>
              </w:p>
            </w:tc>
          </w:sdtContent>
        </w:sdt>
      </w:tr>
      <w:tr w:rsidR="003F0D73" w:rsidRPr="009F4245" w14:paraId="40445B7E" w14:textId="77777777" w:rsidTr="003F0D73">
        <w:sdt>
          <w:sdtPr>
            <w:rPr>
              <w:b/>
              <w:color w:val="385623" w:themeColor="accent6" w:themeShade="80"/>
            </w:rPr>
            <w:alias w:val="Article text"/>
            <w:tag w:val="articleText"/>
            <w:id w:val="634067588"/>
            <w:placeholder>
              <w:docPart w:val="68C96E8DE038394789C43F3EEE131A35"/>
            </w:placeholder>
          </w:sdtPr>
          <w:sdtEndPr/>
          <w:sdtContent>
            <w:tc>
              <w:tcPr>
                <w:tcW w:w="9016" w:type="dxa"/>
                <w:tcMar>
                  <w:top w:w="113" w:type="dxa"/>
                  <w:bottom w:w="113" w:type="dxa"/>
                </w:tcMar>
              </w:tcPr>
              <w:p w14:paraId="74A9290A" w14:textId="77777777" w:rsidR="009F4245" w:rsidRPr="009F4245" w:rsidRDefault="009F4245" w:rsidP="009F4245">
                <w:pPr>
                  <w:rPr>
                    <w:rFonts w:cs="Times New Roman"/>
                  </w:rPr>
                </w:pPr>
                <w:r w:rsidRPr="009F4245">
                  <w:rPr>
                    <w:rFonts w:cs="Times New Roman"/>
                  </w:rPr>
                  <w:t xml:space="preserve">Jorge Luis Borges is among the writers who have brought international fame to Latin American Literature. A fabulist, poet, essayist and translator, Borges shaped modern literary perception and became a classic of modern letters. His influential concept of writing as rewriting and his view that each word or group of words has a determinant impact on literature’s effectiveness are crucial to understanding of his texts, and exemplify a modern approach to literary theory. </w:t>
                </w:r>
              </w:p>
              <w:p w14:paraId="189850C2" w14:textId="77777777" w:rsidR="009F4245" w:rsidRPr="009F4245" w:rsidRDefault="009F4245" w:rsidP="009F4245">
                <w:pPr>
                  <w:rPr>
                    <w:rFonts w:cs="Times New Roman"/>
                  </w:rPr>
                </w:pPr>
              </w:p>
              <w:p w14:paraId="265EDA26" w14:textId="77777777" w:rsidR="009F4245" w:rsidRPr="009F4245" w:rsidRDefault="009F4245" w:rsidP="009F4245">
                <w:pPr>
                  <w:rPr>
                    <w:rFonts w:cs="Times New Roman"/>
                  </w:rPr>
                </w:pPr>
                <w:r w:rsidRPr="009F4245">
                  <w:rPr>
                    <w:rFonts w:cs="Times New Roman"/>
                  </w:rPr>
                  <w:t xml:space="preserve">Borges, whose ancestors were among the first Europeans to arrive in America, was born in Buenos Aires, Argentina. His father, Jorge Guillermo Borges, a lawyer and psychology teacher with anarchist views, taught Jorge Luis philosophy. His mother, Leonor Acevedo de Borges, a proud descendant of a long line of soldiers and freedom fighters, was a dedicated companion to her son until her death at the age of 99. Her help was indispensable, especially when Jorge Luis’s blindness made it very difficult for him to read and write. Two years after Jorge Luis’ birth, his sister Norah, his closest childhood friend and his first illustrator, was born. Both English and Spanish were used in Borges’s house, and he learned to read English before he could read Spanish. This knowledge played a key role in his work as a translator. He introduced James Joyce, Joseph Conrad, Virginia Wolf, and William Faulkner to the Spanish-speaking world. </w:t>
                </w:r>
              </w:p>
              <w:p w14:paraId="1FE3BC13" w14:textId="77777777" w:rsidR="009F4245" w:rsidRPr="009F4245" w:rsidRDefault="009F4245" w:rsidP="009F4245">
                <w:pPr>
                  <w:rPr>
                    <w:rFonts w:cs="Times New Roman"/>
                  </w:rPr>
                </w:pPr>
              </w:p>
              <w:p w14:paraId="7EB2D753" w14:textId="77777777" w:rsidR="009F4245" w:rsidRPr="009F4245" w:rsidRDefault="009F4245" w:rsidP="009F4245">
                <w:pPr>
                  <w:rPr>
                    <w:rFonts w:cs="Times New Roman"/>
                  </w:rPr>
                </w:pPr>
                <w:r w:rsidRPr="009F4245">
                  <w:rPr>
                    <w:rFonts w:cs="Times New Roman"/>
                  </w:rPr>
                  <w:t xml:space="preserve">Before the onset of the First World War, Borges’s family moved to Geneva, Switzerland, where </w:t>
                </w:r>
                <w:r w:rsidRPr="009F4245">
                  <w:rPr>
                    <w:rFonts w:cs="Times New Roman"/>
                  </w:rPr>
                  <w:lastRenderedPageBreak/>
                  <w:t xml:space="preserve">Jorge Luis learned French and German, and discovered philosophers and writers who would be influential throughout his life, including Thomas Carlyle, Arthur Schopenhauer, Walt Whitman, G. K. Chesterton, Franz Kafka, and Gustav Flaubert. He also encountered Jewish culture, which would inspire many of his future literary works. When the war was over, the family travelled around Spain, where Borges met a group of Spanish poets, the </w:t>
                </w:r>
                <w:r w:rsidRPr="009F4245">
                  <w:rPr>
                    <w:rFonts w:cs="Times New Roman"/>
                    <w:i/>
                  </w:rPr>
                  <w:t>ultraístas</w:t>
                </w:r>
                <w:r w:rsidRPr="009F4245">
                  <w:rPr>
                    <w:rFonts w:cs="Times New Roman"/>
                  </w:rPr>
                  <w:t>, who were in the process of discovering the European avant-garde. One of the leaders of this group was Rafael Cansinos de Asséns, who had a major influence on young Borges.</w:t>
                </w:r>
              </w:p>
              <w:p w14:paraId="2DFB94B9" w14:textId="77777777" w:rsidR="009F4245" w:rsidRPr="009F4245" w:rsidRDefault="009F4245" w:rsidP="009F4245">
                <w:pPr>
                  <w:rPr>
                    <w:rFonts w:cs="Times New Roman"/>
                  </w:rPr>
                </w:pPr>
              </w:p>
              <w:p w14:paraId="27854391" w14:textId="77777777" w:rsidR="009F4245" w:rsidRPr="009F4245" w:rsidRDefault="009F4245" w:rsidP="009F4245">
                <w:pPr>
                  <w:rPr>
                    <w:rFonts w:cs="Times New Roman"/>
                  </w:rPr>
                </w:pPr>
                <w:r w:rsidRPr="009F4245">
                  <w:rPr>
                    <w:rFonts w:cs="Times New Roman"/>
                  </w:rPr>
                  <w:t xml:space="preserve">This influence became evident upon Borges’s return to Buenos Aires, where he became an active contributor to the literary magazine </w:t>
                </w:r>
                <w:r w:rsidRPr="009F4245">
                  <w:rPr>
                    <w:rFonts w:cs="Times New Roman"/>
                    <w:i/>
                  </w:rPr>
                  <w:t>Martin Fierro</w:t>
                </w:r>
                <w:r w:rsidRPr="009F4245">
                  <w:rPr>
                    <w:rFonts w:cs="Times New Roman"/>
                  </w:rPr>
                  <w:t xml:space="preserve">, and among the founders of </w:t>
                </w:r>
                <w:r w:rsidRPr="009F4245">
                  <w:rPr>
                    <w:rFonts w:cs="Times New Roman"/>
                    <w:i/>
                  </w:rPr>
                  <w:t>ultraista</w:t>
                </w:r>
                <w:r w:rsidRPr="009F4245">
                  <w:rPr>
                    <w:rFonts w:cs="Times New Roman"/>
                  </w:rPr>
                  <w:t xml:space="preserve"> mural magazine </w:t>
                </w:r>
                <w:r w:rsidRPr="009F4245">
                  <w:rPr>
                    <w:rFonts w:cs="Times New Roman"/>
                    <w:i/>
                  </w:rPr>
                  <w:t>Prisma</w:t>
                </w:r>
                <w:r w:rsidRPr="009F4245">
                  <w:rPr>
                    <w:rFonts w:cs="Times New Roman"/>
                  </w:rPr>
                  <w:t xml:space="preserve">, the publication of which marks the birth of the Argentine avant-garde. Borges’s first book of poetry, </w:t>
                </w:r>
                <w:r w:rsidRPr="009F4245">
                  <w:rPr>
                    <w:rFonts w:cs="Times New Roman"/>
                    <w:i/>
                  </w:rPr>
                  <w:t>Fervor de Buenos Aires</w:t>
                </w:r>
                <w:r w:rsidRPr="009F4245">
                  <w:rPr>
                    <w:rFonts w:cs="Times New Roman"/>
                  </w:rPr>
                  <w:t xml:space="preserve"> (</w:t>
                </w:r>
                <w:r w:rsidRPr="009F4245">
                  <w:rPr>
                    <w:rFonts w:cs="Times New Roman"/>
                    <w:i/>
                  </w:rPr>
                  <w:t>Adoration of Buenos Aires</w:t>
                </w:r>
                <w:r w:rsidRPr="009F4245">
                  <w:rPr>
                    <w:rFonts w:cs="Times New Roman"/>
                  </w:rPr>
                  <w:t xml:space="preserve">) (1923), where the poet is looking for reconciliation with his native city after four years absence, is among the best examples of Argentine ultraism. However, Borges became increasingly disappointed with Spanish and Argentine avant-garde because of its obsession with metaphor, especially after his reading of Joyce’s </w:t>
                </w:r>
                <w:r w:rsidRPr="009F4245">
                  <w:rPr>
                    <w:rFonts w:cs="Times New Roman"/>
                    <w:i/>
                  </w:rPr>
                  <w:t>Ulysses</w:t>
                </w:r>
                <w:r w:rsidRPr="009F4245">
                  <w:rPr>
                    <w:rFonts w:cs="Times New Roman"/>
                  </w:rPr>
                  <w:t xml:space="preserve">, which he reviewed in the journal </w:t>
                </w:r>
                <w:r w:rsidRPr="009F4245">
                  <w:rPr>
                    <w:rFonts w:cs="Times New Roman"/>
                    <w:i/>
                  </w:rPr>
                  <w:t>Proa</w:t>
                </w:r>
                <w:r w:rsidRPr="009F4245">
                  <w:rPr>
                    <w:rFonts w:cs="Times New Roman"/>
                  </w:rPr>
                  <w:t xml:space="preserve">. </w:t>
                </w:r>
              </w:p>
              <w:p w14:paraId="3E7DDAA8" w14:textId="77777777" w:rsidR="009F4245" w:rsidRPr="009F4245" w:rsidRDefault="009F4245" w:rsidP="009F4245">
                <w:pPr>
                  <w:rPr>
                    <w:rFonts w:cs="Times New Roman"/>
                  </w:rPr>
                </w:pPr>
              </w:p>
              <w:p w14:paraId="7D3A35B8" w14:textId="77777777" w:rsidR="009F4245" w:rsidRPr="009F4245" w:rsidRDefault="009F4245" w:rsidP="009F4245">
                <w:pPr>
                  <w:rPr>
                    <w:rFonts w:cs="Times New Roman"/>
                    <w:i/>
                    <w:iCs/>
                  </w:rPr>
                </w:pPr>
                <w:r w:rsidRPr="009F4245">
                  <w:rPr>
                    <w:rFonts w:cs="Times New Roman"/>
                  </w:rPr>
                  <w:t xml:space="preserve">In the 1930s Borges began contributing to Victoria Ocampo’s journal </w:t>
                </w:r>
                <w:r w:rsidRPr="009F4245">
                  <w:rPr>
                    <w:rFonts w:cs="Times New Roman"/>
                    <w:i/>
                  </w:rPr>
                  <w:t>Sur</w:t>
                </w:r>
                <w:r w:rsidRPr="009F4245">
                  <w:rPr>
                    <w:rFonts w:cs="Times New Roman"/>
                  </w:rPr>
                  <w:t xml:space="preserve">, which for the next three decades would become the most influential literary publication in Latin America. Some of Borges’s most famous stories, including “Pierre Menard, Author of </w:t>
                </w:r>
                <w:r w:rsidRPr="009F4245">
                  <w:rPr>
                    <w:rFonts w:cs="Times New Roman"/>
                    <w:i/>
                    <w:iCs/>
                  </w:rPr>
                  <w:t>Don Quixote</w:t>
                </w:r>
                <w:r w:rsidRPr="009F4245">
                  <w:rPr>
                    <w:rFonts w:cs="Times New Roman"/>
                  </w:rPr>
                  <w:t>” and “Tlön, Uqbar, Orbis Tertius” were published there</w:t>
                </w:r>
                <w:r w:rsidRPr="009F4245">
                  <w:rPr>
                    <w:rFonts w:cs="Times New Roman"/>
                    <w:i/>
                    <w:iCs/>
                  </w:rPr>
                  <w:t>.</w:t>
                </w:r>
              </w:p>
              <w:p w14:paraId="3D2BDA1E" w14:textId="77777777" w:rsidR="009F4245" w:rsidRPr="009F4245" w:rsidRDefault="009F4245" w:rsidP="009F4245">
                <w:pPr>
                  <w:rPr>
                    <w:rFonts w:cs="Times New Roman"/>
                    <w:i/>
                    <w:iCs/>
                  </w:rPr>
                </w:pPr>
              </w:p>
              <w:p w14:paraId="565B778E" w14:textId="77777777" w:rsidR="009F4245" w:rsidRPr="009F4245" w:rsidRDefault="009F4245" w:rsidP="009F4245">
                <w:pPr>
                  <w:rPr>
                    <w:rFonts w:cs="Times New Roman"/>
                  </w:rPr>
                </w:pPr>
                <w:r w:rsidRPr="009F4245">
                  <w:rPr>
                    <w:rFonts w:cs="Times New Roman"/>
                  </w:rPr>
                  <w:t xml:space="preserve">Borges considered the beginning of his career as a story writer to be the publication of </w:t>
                </w:r>
                <w:r w:rsidRPr="009F4245">
                  <w:rPr>
                    <w:rFonts w:cs="Times New Roman"/>
                    <w:i/>
                  </w:rPr>
                  <w:t>La historia universal de la infamia</w:t>
                </w:r>
                <w:r w:rsidRPr="009F4245">
                  <w:rPr>
                    <w:rFonts w:cs="Times New Roman"/>
                  </w:rPr>
                  <w:t xml:space="preserve"> (</w:t>
                </w:r>
                <w:r w:rsidRPr="009F4245">
                  <w:rPr>
                    <w:rFonts w:cs="Times New Roman"/>
                    <w:i/>
                  </w:rPr>
                  <w:t>A Universal History of Infamy)</w:t>
                </w:r>
                <w:r w:rsidRPr="009F4245">
                  <w:rPr>
                    <w:rFonts w:cs="Times New Roman"/>
                  </w:rPr>
                  <w:t xml:space="preserve"> in 1935, when he took characters and ideas from other published works and “re-invented” them. The same year he wrote a fictional book review “The Approach to al-Mu’tasim,” which was supposed to be published in a compilation of essays. The deception worked, and it fooled even Borges’s close friend, the writer Adolfo Bioy Casares, with whom he later collaborated in </w:t>
                </w:r>
                <w:r w:rsidRPr="009F4245">
                  <w:rPr>
                    <w:rFonts w:cs="Times New Roman"/>
                    <w:i/>
                  </w:rPr>
                  <w:t>Seis problemas para don Isidoro Parodi</w:t>
                </w:r>
                <w:r w:rsidRPr="009F4245">
                  <w:rPr>
                    <w:rFonts w:cs="Times New Roman"/>
                  </w:rPr>
                  <w:t xml:space="preserve"> (</w:t>
                </w:r>
                <w:r w:rsidRPr="009F4245">
                  <w:rPr>
                    <w:rFonts w:cs="Times New Roman"/>
                    <w:i/>
                    <w:iCs/>
                  </w:rPr>
                  <w:t>Six Problems for Don Isidro Parodi</w:t>
                </w:r>
                <w:r w:rsidRPr="009F4245">
                  <w:rPr>
                    <w:rFonts w:cs="Times New Roman"/>
                    <w:iCs/>
                  </w:rPr>
                  <w:t>) (1942),</w:t>
                </w:r>
                <w:r w:rsidRPr="009F4245">
                  <w:rPr>
                    <w:rFonts w:cs="Times New Roman"/>
                  </w:rPr>
                  <w:t xml:space="preserve"> under the joint pen-name of “Bustos Domecq.” Most importantly, with this story Borges launched the original format for his future fiction, which insists on its self-conscious status as an artifact. This fiction is included in </w:t>
                </w:r>
                <w:r w:rsidRPr="009F4245">
                  <w:rPr>
                    <w:rFonts w:cs="Times New Roman"/>
                    <w:i/>
                  </w:rPr>
                  <w:t>Ficciones</w:t>
                </w:r>
                <w:r w:rsidRPr="009F4245">
                  <w:rPr>
                    <w:rFonts w:cs="Times New Roman"/>
                  </w:rPr>
                  <w:t xml:space="preserve"> (1944), arguably the most important book written in Spanish in the twentieth century. At the time, Borges defended a fiction that followed the order and logic of magic, the view which became very influential among Latin American ‘magical realists,’ many of whom would cite Borges as their primary inspiration.</w:t>
                </w:r>
              </w:p>
              <w:p w14:paraId="0E066771" w14:textId="77777777" w:rsidR="009F4245" w:rsidRPr="009F4245" w:rsidRDefault="009F4245" w:rsidP="009F4245">
                <w:pPr>
                  <w:rPr>
                    <w:rFonts w:cs="Times New Roman"/>
                  </w:rPr>
                </w:pPr>
              </w:p>
              <w:p w14:paraId="26BB2043" w14:textId="77777777" w:rsidR="009F4245" w:rsidRPr="009F4245" w:rsidRDefault="009F4245" w:rsidP="009F4245">
                <w:pPr>
                  <w:rPr>
                    <w:rFonts w:cs="Times New Roman"/>
                  </w:rPr>
                </w:pPr>
                <w:r w:rsidRPr="009F4245">
                  <w:rPr>
                    <w:rFonts w:cs="Times New Roman"/>
                  </w:rPr>
                  <w:t xml:space="preserve">In addition to his new stories, which mixed philosophy, fact, fantasy, and mystery, Borges also began to write political articles. Published in </w:t>
                </w:r>
                <w:r w:rsidRPr="009F4245">
                  <w:rPr>
                    <w:rFonts w:cs="Times New Roman"/>
                    <w:i/>
                    <w:iCs/>
                  </w:rPr>
                  <w:t>El Hogar,</w:t>
                </w:r>
                <w:r w:rsidRPr="009F4245">
                  <w:rPr>
                    <w:rFonts w:cs="Times New Roman"/>
                  </w:rPr>
                  <w:t xml:space="preserve"> these articles criticized many of the general trends of the time, including anti-semitism, Nazism, and Argentina’s increasing slide into fascism. </w:t>
                </w:r>
              </w:p>
              <w:p w14:paraId="73D16561" w14:textId="77777777" w:rsidR="009F4245" w:rsidRPr="009F4245" w:rsidRDefault="009F4245" w:rsidP="009F4245">
                <w:pPr>
                  <w:rPr>
                    <w:rFonts w:cs="Times New Roman"/>
                  </w:rPr>
                </w:pPr>
              </w:p>
              <w:p w14:paraId="432B3F89" w14:textId="77777777" w:rsidR="009F4245" w:rsidRPr="009F4245" w:rsidRDefault="009F4245" w:rsidP="009F4245">
                <w:pPr>
                  <w:rPr>
                    <w:rFonts w:cs="Times New Roman"/>
                  </w:rPr>
                </w:pPr>
                <w:r w:rsidRPr="009F4245">
                  <w:rPr>
                    <w:rFonts w:cs="Times New Roman"/>
                  </w:rPr>
                  <w:t xml:space="preserve">With the release of </w:t>
                </w:r>
                <w:r w:rsidRPr="009F4245">
                  <w:rPr>
                    <w:rFonts w:cs="Times New Roman"/>
                    <w:i/>
                  </w:rPr>
                  <w:t>The Aleph</w:t>
                </w:r>
                <w:r w:rsidRPr="009F4245">
                  <w:rPr>
                    <w:rFonts w:cs="Times New Roman"/>
                  </w:rPr>
                  <w:t xml:space="preserve"> in 1949 and </w:t>
                </w:r>
                <w:r w:rsidRPr="009F4245">
                  <w:rPr>
                    <w:rFonts w:cs="Times New Roman"/>
                    <w:i/>
                  </w:rPr>
                  <w:t>Otras Inquisiciones</w:t>
                </w:r>
                <w:r w:rsidRPr="009F4245">
                  <w:rPr>
                    <w:rFonts w:cs="Times New Roman"/>
                  </w:rPr>
                  <w:t xml:space="preserve"> (</w:t>
                </w:r>
                <w:r w:rsidRPr="009F4245">
                  <w:rPr>
                    <w:rFonts w:cs="Times New Roman"/>
                    <w:i/>
                  </w:rPr>
                  <w:t>Other Inquisitions</w:t>
                </w:r>
                <w:r w:rsidRPr="009F4245">
                  <w:rPr>
                    <w:rFonts w:cs="Times New Roman"/>
                  </w:rPr>
                  <w:t xml:space="preserve">) in 1952, Borges began to be acknowledged as Argentina’s most distinguished writer and the best prose writer in the Spanish language. After the publication of </w:t>
                </w:r>
                <w:r w:rsidRPr="009F4245">
                  <w:rPr>
                    <w:rFonts w:cs="Times New Roman"/>
                    <w:i/>
                  </w:rPr>
                  <w:t>El hacedor</w:t>
                </w:r>
                <w:r w:rsidRPr="009F4245">
                  <w:rPr>
                    <w:rFonts w:cs="Times New Roman"/>
                  </w:rPr>
                  <w:t xml:space="preserve"> (</w:t>
                </w:r>
                <w:r w:rsidRPr="009F4245">
                  <w:rPr>
                    <w:rFonts w:cs="Times New Roman"/>
                    <w:i/>
                  </w:rPr>
                  <w:t>Dreamtigers</w:t>
                </w:r>
                <w:r w:rsidRPr="009F4245">
                  <w:rPr>
                    <w:rFonts w:cs="Times New Roman"/>
                  </w:rPr>
                  <w:t xml:space="preserve">) in 1960, Borges was awarded jointly with Samuel Beckett the first Formentor Prize, marking the beginning of his international fame. From then on, Borges was acknowledged as a modern master. In 1971, Columbia University awarded him the first of many degrees of Doctor of Letters, </w:t>
                </w:r>
                <w:r w:rsidRPr="009F4245">
                  <w:rPr>
                    <w:rFonts w:cs="Times New Roman"/>
                    <w:i/>
                  </w:rPr>
                  <w:t>honoris causa</w:t>
                </w:r>
                <w:r w:rsidRPr="009F4245">
                  <w:rPr>
                    <w:rFonts w:cs="Times New Roman"/>
                  </w:rPr>
                  <w:t xml:space="preserve">. In the same year, he received the fifth biennial Jerusalem Prize. In 1980, he shared with Gerardo Diego the Cervantes Prize, the highest literary award in the Spanish-speaking world. </w:t>
                </w:r>
              </w:p>
              <w:p w14:paraId="6D314A00" w14:textId="77777777" w:rsidR="009F4245" w:rsidRPr="009F4245" w:rsidRDefault="009F4245" w:rsidP="009F4245">
                <w:pPr>
                  <w:rPr>
                    <w:rFonts w:cs="Times New Roman"/>
                  </w:rPr>
                </w:pPr>
              </w:p>
              <w:p w14:paraId="16F0DD09" w14:textId="77777777" w:rsidR="009F4245" w:rsidRPr="009F4245" w:rsidRDefault="009F4245" w:rsidP="009F4245">
                <w:pPr>
                  <w:rPr>
                    <w:rFonts w:cs="Times New Roman"/>
                    <w:color w:val="000000"/>
                  </w:rPr>
                </w:pPr>
                <w:r w:rsidRPr="009F4245">
                  <w:rPr>
                    <w:rFonts w:cs="Times New Roman"/>
                    <w:color w:val="000000"/>
                  </w:rPr>
                  <w:t xml:space="preserve">Borges’s essays, together with his short stories, brought the author international fame. In </w:t>
                </w:r>
                <w:r w:rsidRPr="009F4245">
                  <w:rPr>
                    <w:rFonts w:cs="Times New Roman"/>
                  </w:rPr>
                  <w:t>the</w:t>
                </w:r>
                <w:r w:rsidRPr="009F4245">
                  <w:rPr>
                    <w:rFonts w:cs="Times New Roman"/>
                    <w:color w:val="FF0000"/>
                  </w:rPr>
                  <w:t xml:space="preserve"> </w:t>
                </w:r>
                <w:r w:rsidRPr="009F4245">
                  <w:rPr>
                    <w:rFonts w:cs="Times New Roman"/>
                    <w:color w:val="000000"/>
                  </w:rPr>
                  <w:t xml:space="preserve">writer’s own words, his style does not change when he composes essays, which are indispensable for an understanding of the author’s metapoetical ideas. Among them is the first principle of </w:t>
                </w:r>
                <w:r w:rsidRPr="009F4245">
                  <w:rPr>
                    <w:rFonts w:cs="Times New Roman"/>
                    <w:color w:val="000000"/>
                  </w:rPr>
                  <w:lastRenderedPageBreak/>
                  <w:t xml:space="preserve">poetic influence: each writer creates his own precursors, as discussed in the seminal essay “Kafka y sus precursors” (“Kafka and His Precursors”). This challenges the idea of the chronology as an organizing principle of literary history, by suggesting that the strong writer precedes his or her own precursors. Aptly challenging </w:t>
                </w:r>
                <w:r w:rsidRPr="009F4245">
                  <w:rPr>
                    <w:rFonts w:cs="Times New Roman"/>
                  </w:rPr>
                  <w:t>the</w:t>
                </w:r>
                <w:r w:rsidRPr="009F4245">
                  <w:rPr>
                    <w:rFonts w:cs="Times New Roman"/>
                    <w:color w:val="FF0000"/>
                  </w:rPr>
                  <w:t xml:space="preserve"> </w:t>
                </w:r>
                <w:r w:rsidRPr="009F4245">
                  <w:rPr>
                    <w:rFonts w:cs="Times New Roman"/>
                    <w:color w:val="000000"/>
                  </w:rPr>
                  <w:t>cosmopolitanism vs. localism dichotomy, Borges redefines the concept of national literature,</w:t>
                </w:r>
                <w:r w:rsidRPr="009F4245">
                  <w:rPr>
                    <w:rFonts w:cs="Times New Roman"/>
                    <w:color w:val="FF0000"/>
                    <w:u w:val="single"/>
                  </w:rPr>
                  <w:t xml:space="preserve"> </w:t>
                </w:r>
                <w:r w:rsidRPr="009F4245">
                  <w:rPr>
                    <w:rFonts w:cs="Times New Roman"/>
                    <w:color w:val="000000"/>
                  </w:rPr>
                  <w:t>placing it in the framework of universal fiction, as, for example, in</w:t>
                </w:r>
                <w:r w:rsidRPr="009F4245">
                  <w:rPr>
                    <w:color w:val="FF0000"/>
                    <w:u w:val="single"/>
                  </w:rPr>
                  <w:t xml:space="preserve"> </w:t>
                </w:r>
                <w:r w:rsidRPr="009F4245">
                  <w:rPr>
                    <w:rFonts w:cs="Times New Roman"/>
                    <w:color w:val="000000"/>
                  </w:rPr>
                  <w:t xml:space="preserve">“El escritor argentino y la tradición” (”The Argentine Writer and Tradition” ). He summed up his vision of literature as a repetition with variations in </w:t>
                </w:r>
                <w:r w:rsidRPr="009F4245">
                  <w:rPr>
                    <w:rFonts w:cs="Times New Roman"/>
                    <w:i/>
                    <w:color w:val="000000"/>
                  </w:rPr>
                  <w:t>This Craft of Verse</w:t>
                </w:r>
                <w:r w:rsidRPr="009F4245">
                  <w:rPr>
                    <w:rFonts w:cs="Times New Roman"/>
                    <w:color w:val="000000"/>
                  </w:rPr>
                  <w:t xml:space="preserve">, his Charles Eliot Norton lectures, which he gave </w:t>
                </w:r>
                <w:r w:rsidRPr="009F4245">
                  <w:rPr>
                    <w:rFonts w:cs="Times New Roman"/>
                  </w:rPr>
                  <w:t>at</w:t>
                </w:r>
                <w:r w:rsidRPr="009F4245">
                  <w:rPr>
                    <w:rFonts w:cs="Times New Roman"/>
                    <w:color w:val="000000"/>
                  </w:rPr>
                  <w:t xml:space="preserve"> Harvard in 1967-1968. </w:t>
                </w:r>
              </w:p>
              <w:p w14:paraId="315C5FA3" w14:textId="77777777" w:rsidR="009F4245" w:rsidRPr="009F4245" w:rsidRDefault="009F4245" w:rsidP="009F4245">
                <w:pPr>
                  <w:rPr>
                    <w:rFonts w:cs="Times New Roman"/>
                    <w:color w:val="000000"/>
                  </w:rPr>
                </w:pPr>
              </w:p>
              <w:p w14:paraId="3FCDC0FD" w14:textId="77777777" w:rsidR="009F4245" w:rsidRPr="009F4245" w:rsidRDefault="009F4245" w:rsidP="009F4245">
                <w:pPr>
                  <w:rPr>
                    <w:rFonts w:cs="Times New Roman"/>
                    <w:i/>
                  </w:rPr>
                </w:pPr>
                <w:r w:rsidRPr="009F4245">
                  <w:rPr>
                    <w:rFonts w:cs="Times New Roman"/>
                  </w:rPr>
                  <w:t xml:space="preserve">His own poetic work, which draws on many literary traditions, among them Nordic mythology and short Japanese forms, includes such important collections as </w:t>
                </w:r>
                <w:r w:rsidRPr="009F4245">
                  <w:rPr>
                    <w:rFonts w:cs="Times New Roman"/>
                    <w:i/>
                  </w:rPr>
                  <w:t>Luna de enfrente</w:t>
                </w:r>
                <w:r w:rsidRPr="009F4245">
                  <w:rPr>
                    <w:rFonts w:cs="Times New Roman"/>
                  </w:rPr>
                  <w:t xml:space="preserve"> (</w:t>
                </w:r>
                <w:r w:rsidRPr="009F4245">
                  <w:rPr>
                    <w:rFonts w:cs="Times New Roman"/>
                    <w:i/>
                  </w:rPr>
                  <w:t>Moon Across the Way</w:t>
                </w:r>
                <w:r w:rsidRPr="009F4245">
                  <w:rPr>
                    <w:rFonts w:cs="Times New Roman"/>
                  </w:rPr>
                  <w:t xml:space="preserve">) (1925), </w:t>
                </w:r>
                <w:r w:rsidRPr="009F4245">
                  <w:rPr>
                    <w:rFonts w:cs="Times New Roman"/>
                    <w:i/>
                  </w:rPr>
                  <w:t>El otro y el mismo</w:t>
                </w:r>
                <w:r w:rsidRPr="009F4245">
                  <w:rPr>
                    <w:rFonts w:cs="Times New Roman"/>
                  </w:rPr>
                  <w:t xml:space="preserve"> (</w:t>
                </w:r>
                <w:r w:rsidRPr="009F4245">
                  <w:rPr>
                    <w:rFonts w:cs="Times New Roman"/>
                    <w:i/>
                  </w:rPr>
                  <w:t>The Self and the</w:t>
                </w:r>
                <w:r w:rsidRPr="009F4245">
                  <w:rPr>
                    <w:rFonts w:cs="Times New Roman"/>
                    <w:i/>
                    <w:color w:val="FF0000"/>
                  </w:rPr>
                  <w:t xml:space="preserve"> </w:t>
                </w:r>
                <w:r w:rsidRPr="009F4245">
                  <w:rPr>
                    <w:rFonts w:cs="Times New Roman"/>
                    <w:i/>
                  </w:rPr>
                  <w:t>Other</w:t>
                </w:r>
                <w:r w:rsidRPr="009F4245">
                  <w:rPr>
                    <w:rFonts w:cs="Times New Roman"/>
                  </w:rPr>
                  <w:t xml:space="preserve">) (1964); </w:t>
                </w:r>
                <w:r w:rsidRPr="009F4245">
                  <w:rPr>
                    <w:rFonts w:cs="Times New Roman"/>
                    <w:i/>
                  </w:rPr>
                  <w:t>El oro de los tigres</w:t>
                </w:r>
                <w:r w:rsidRPr="009F4245">
                  <w:rPr>
                    <w:rFonts w:cs="Times New Roman"/>
                  </w:rPr>
                  <w:t xml:space="preserve"> (</w:t>
                </w:r>
                <w:r w:rsidRPr="009F4245">
                  <w:rPr>
                    <w:rFonts w:cs="Times New Roman"/>
                    <w:i/>
                  </w:rPr>
                  <w:t>The Gold of the Tigers</w:t>
                </w:r>
                <w:r w:rsidRPr="009F4245">
                  <w:rPr>
                    <w:rFonts w:cs="Times New Roman"/>
                  </w:rPr>
                  <w:t xml:space="preserve">”) (1972) and </w:t>
                </w:r>
                <w:r w:rsidRPr="009F4245">
                  <w:rPr>
                    <w:rFonts w:cs="Times New Roman"/>
                    <w:i/>
                  </w:rPr>
                  <w:t>Los conjurados</w:t>
                </w:r>
                <w:r w:rsidRPr="009F4245">
                  <w:rPr>
                    <w:rFonts w:cs="Times New Roman"/>
                  </w:rPr>
                  <w:t xml:space="preserve"> (1985). </w:t>
                </w:r>
              </w:p>
              <w:p w14:paraId="53717C68" w14:textId="77777777" w:rsidR="009F4245" w:rsidRPr="009F4245" w:rsidRDefault="009F4245" w:rsidP="009F4245">
                <w:pPr>
                  <w:rPr>
                    <w:rFonts w:cs="Times New Roman"/>
                  </w:rPr>
                </w:pPr>
                <w:r w:rsidRPr="009F4245">
                  <w:rPr>
                    <w:rFonts w:cs="Times New Roman"/>
                  </w:rPr>
                  <w:t xml:space="preserve">Borges mentioned on numerous occasions that he prefers translations to his original works. Considering translation among his own major literary pursuits, Borges views translation as transformation, when the successor can enrich the original, and suggests that translation needs to be evaluated in accordance with the same criteria as original works of literature. Translation is a key topic in such essays as “Los traductores de </w:t>
                </w:r>
                <w:r w:rsidRPr="009F4245">
                  <w:rPr>
                    <w:rFonts w:cs="Times New Roman"/>
                    <w:i/>
                  </w:rPr>
                  <w:t>Las 1001 Noches</w:t>
                </w:r>
                <w:r w:rsidRPr="009F4245">
                  <w:rPr>
                    <w:rFonts w:cs="Times New Roman"/>
                  </w:rPr>
                  <w:t xml:space="preserve">” (“The Translators of the </w:t>
                </w:r>
                <w:r w:rsidRPr="009F4245">
                  <w:rPr>
                    <w:rFonts w:cs="Times New Roman"/>
                    <w:i/>
                  </w:rPr>
                  <w:t>Thousand and One Nights</w:t>
                </w:r>
                <w:r w:rsidRPr="009F4245">
                  <w:rPr>
                    <w:rFonts w:cs="Times New Roman"/>
                  </w:rPr>
                  <w:t xml:space="preserve">”) and “Las versiones homéricas” (“Some Versions of Homer”). </w:t>
                </w:r>
              </w:p>
              <w:p w14:paraId="43BE7B19" w14:textId="77777777" w:rsidR="009F4245" w:rsidRPr="009F4245" w:rsidRDefault="009F4245" w:rsidP="009F4245">
                <w:pPr>
                  <w:rPr>
                    <w:rFonts w:cs="Times New Roman"/>
                  </w:rPr>
                </w:pPr>
              </w:p>
              <w:p w14:paraId="7D853556" w14:textId="77777777" w:rsidR="009F4245" w:rsidRPr="009F4245" w:rsidRDefault="009F4245" w:rsidP="009F4245">
                <w:pPr>
                  <w:rPr>
                    <w:rFonts w:cs="Times New Roman"/>
                  </w:rPr>
                </w:pPr>
                <w:r w:rsidRPr="009F4245">
                  <w:rPr>
                    <w:rFonts w:cs="Times New Roman"/>
                  </w:rPr>
                  <w:t xml:space="preserve">An avid reader, Borges is the author of numerous prologues, which were compiled in a book </w:t>
                </w:r>
                <w:r w:rsidRPr="009F4245">
                  <w:rPr>
                    <w:rFonts w:cs="Times New Roman"/>
                    <w:i/>
                  </w:rPr>
                  <w:t xml:space="preserve">Prólogos con un prólogo de prólogos </w:t>
                </w:r>
                <w:r w:rsidRPr="009F4245">
                  <w:rPr>
                    <w:rFonts w:cs="Times New Roman"/>
                  </w:rPr>
                  <w:t>(</w:t>
                </w:r>
                <w:r w:rsidRPr="009F4245">
                  <w:rPr>
                    <w:rFonts w:cs="Times New Roman"/>
                    <w:i/>
                  </w:rPr>
                  <w:t>Prologues, with a Prologue of Prologues</w:t>
                </w:r>
                <w:r w:rsidRPr="009F4245">
                  <w:rPr>
                    <w:rFonts w:cs="Times New Roman"/>
                  </w:rPr>
                  <w:t>)</w:t>
                </w:r>
                <w:r w:rsidRPr="009F4245">
                  <w:rPr>
                    <w:rFonts w:cs="Times New Roman"/>
                    <w:i/>
                  </w:rPr>
                  <w:t xml:space="preserve"> </w:t>
                </w:r>
                <w:r w:rsidRPr="009F4245">
                  <w:rPr>
                    <w:rFonts w:cs="Times New Roman"/>
                  </w:rPr>
                  <w:t xml:space="preserve">(1975). While providing readers with insightful introductions to an array of literary works of undeniable quality, they also shed light on Borges’ vision of literature as the creation of verbal objects. In his prologue to Bioy Casares’s novel </w:t>
                </w:r>
                <w:r w:rsidRPr="009F4245">
                  <w:rPr>
                    <w:rFonts w:cs="Times New Roman"/>
                    <w:i/>
                  </w:rPr>
                  <w:t>La invención de Morel</w:t>
                </w:r>
                <w:r w:rsidRPr="009F4245">
                  <w:rPr>
                    <w:rFonts w:cs="Times New Roman"/>
                  </w:rPr>
                  <w:t xml:space="preserve"> (</w:t>
                </w:r>
                <w:r w:rsidRPr="009F4245">
                  <w:rPr>
                    <w:rFonts w:cs="Times New Roman"/>
                    <w:i/>
                  </w:rPr>
                  <w:t>The Invention of Morel</w:t>
                </w:r>
                <w:r w:rsidRPr="009F4245">
                  <w:rPr>
                    <w:rFonts w:cs="Times New Roman"/>
                  </w:rPr>
                  <w:t xml:space="preserve">), for example, he defends fiction that follows the order and logic of magic, expanding his views on fantastic literature, articulated also in his earlier essay “El arte narrativo y la magia” (“Narrative Art and Magic”) (1932) as well as in his numerous short stories and in </w:t>
                </w:r>
                <w:r w:rsidRPr="009F4245">
                  <w:rPr>
                    <w:rFonts w:cs="Times New Roman"/>
                    <w:i/>
                  </w:rPr>
                  <w:t>Antología de la literatura fantástica</w:t>
                </w:r>
                <w:r w:rsidRPr="009F4245">
                  <w:rPr>
                    <w:rFonts w:cs="Times New Roman"/>
                  </w:rPr>
                  <w:t xml:space="preserve"> (</w:t>
                </w:r>
                <w:r w:rsidRPr="009F4245">
                  <w:rPr>
                    <w:rFonts w:cs="Times New Roman"/>
                    <w:i/>
                  </w:rPr>
                  <w:t>Anthology of Fantastic Literature</w:t>
                </w:r>
                <w:r w:rsidRPr="009F4245">
                  <w:rPr>
                    <w:rFonts w:cs="Times New Roman"/>
                  </w:rPr>
                  <w:t>) (1977), co-edited with Silvina Ocampo and Bioy Casares.</w:t>
                </w:r>
              </w:p>
              <w:p w14:paraId="7A5C1A7A" w14:textId="77777777" w:rsidR="009F4245" w:rsidRPr="009F4245" w:rsidRDefault="009F4245" w:rsidP="009F4245">
                <w:pPr>
                  <w:rPr>
                    <w:rFonts w:cs="Times New Roman"/>
                  </w:rPr>
                </w:pPr>
              </w:p>
              <w:p w14:paraId="3A70AC70" w14:textId="77777777" w:rsidR="009F4245" w:rsidRPr="009F4245" w:rsidRDefault="009F4245" w:rsidP="009F4245">
                <w:pPr>
                  <w:rPr>
                    <w:rFonts w:cs="Times New Roman"/>
                  </w:rPr>
                </w:pPr>
                <w:r w:rsidRPr="009F4245">
                  <w:rPr>
                    <w:rFonts w:cs="Times New Roman"/>
                  </w:rPr>
                  <w:t xml:space="preserve">Borges’s works inspired such important thinkers and Jacques Derrida, Michel Foucault, Roland Barthes, and Gérard Genette. He had a significant influence on contemporary Latin American fiction, acknowledged by Julio Cortázar, Carlos Fuentes, Mario Vargas Llosa, Gabriel García Márquez, Octavio Paz, and Roberto Bolaño among many others. Though the physical man died in 1986 in Geneva from liver cancer, the ongoing discussions that his works provoke exemplify that his spirit is still very much alive among his readers. </w:t>
                </w:r>
              </w:p>
              <w:p w14:paraId="0F9410BE" w14:textId="77777777" w:rsidR="009F4245" w:rsidRPr="009F4245" w:rsidRDefault="009F4245" w:rsidP="009F4245">
                <w:pPr>
                  <w:rPr>
                    <w:rFonts w:cs="Times New Roman"/>
                  </w:rPr>
                </w:pPr>
              </w:p>
              <w:p w14:paraId="3E530A83" w14:textId="77777777" w:rsidR="009F4245" w:rsidRPr="009F4245" w:rsidRDefault="009F4245" w:rsidP="009F4245">
                <w:pPr>
                  <w:pStyle w:val="Authornote"/>
                  <w:rPr>
                    <w:lang w:val="es-ES_tradnl"/>
                  </w:rPr>
                </w:pPr>
                <w:r w:rsidRPr="009F4245">
                  <w:rPr>
                    <w:lang w:val="es-ES_tradnl"/>
                  </w:rPr>
                  <w:t>Selected Works</w:t>
                </w:r>
              </w:p>
              <w:p w14:paraId="12C713FE" w14:textId="77777777" w:rsidR="009F4245" w:rsidRPr="009F4245" w:rsidRDefault="009F4245" w:rsidP="009F4245">
                <w:pPr>
                  <w:pStyle w:val="Authornote"/>
                  <w:rPr>
                    <w:lang w:val="es-ES_tradnl"/>
                  </w:rPr>
                </w:pPr>
                <w:r w:rsidRPr="009F4245">
                  <w:rPr>
                    <w:i/>
                    <w:lang w:val="es-ES_tradnl"/>
                  </w:rPr>
                  <w:t>Obras completas</w:t>
                </w:r>
                <w:r w:rsidRPr="009F4245">
                  <w:rPr>
                    <w:lang w:val="es-ES_tradnl"/>
                  </w:rPr>
                  <w:t>. (1996) Vol. 1-4. Barcelona: Emecé.</w:t>
                </w:r>
              </w:p>
              <w:p w14:paraId="7A56A6ED" w14:textId="77777777" w:rsidR="009F4245" w:rsidRPr="009F4245" w:rsidRDefault="009F4245" w:rsidP="009F4245">
                <w:pPr>
                  <w:pStyle w:val="Authornote"/>
                </w:pPr>
                <w:r w:rsidRPr="009F4245">
                  <w:rPr>
                    <w:i/>
                  </w:rPr>
                  <w:t>Labyrinths: Selected Stories and Other Writings</w:t>
                </w:r>
                <w:r w:rsidRPr="009F4245">
                  <w:t xml:space="preserve">. (1962) Eds. Donald A. Yates and James E. Irby. New York: New directions. </w:t>
                </w:r>
              </w:p>
              <w:p w14:paraId="694EC004" w14:textId="77777777" w:rsidR="009F4245" w:rsidRPr="009F4245" w:rsidRDefault="009F4245" w:rsidP="009F4245">
                <w:pPr>
                  <w:pStyle w:val="Authornote"/>
                </w:pPr>
                <w:r w:rsidRPr="009F4245">
                  <w:rPr>
                    <w:i/>
                  </w:rPr>
                  <w:t>Aleph and Other Stories 1933-1969, together with commentaries and an autobiographical essay</w:t>
                </w:r>
                <w:r w:rsidRPr="009F4245">
                  <w:t>. (1970) Ed. NormanThomas de Giovanno in collaboration with the author. New York: Dutton.</w:t>
                </w:r>
              </w:p>
              <w:p w14:paraId="0D294547" w14:textId="77777777" w:rsidR="009F4245" w:rsidRPr="009F4245" w:rsidRDefault="009F4245" w:rsidP="009F4245">
                <w:pPr>
                  <w:pStyle w:val="Authornote"/>
                </w:pPr>
                <w:r w:rsidRPr="009F4245">
                  <w:rPr>
                    <w:i/>
                  </w:rPr>
                  <w:t>Collected Fictions</w:t>
                </w:r>
                <w:r w:rsidRPr="009F4245">
                  <w:t>. (1999) Trans. Andrew Hurley. New York: Penguin.</w:t>
                </w:r>
              </w:p>
              <w:p w14:paraId="035376E2" w14:textId="77777777" w:rsidR="009F4245" w:rsidRPr="009F4245" w:rsidRDefault="009F4245" w:rsidP="009F4245">
                <w:pPr>
                  <w:pStyle w:val="Authornote"/>
                </w:pPr>
                <w:r w:rsidRPr="009F4245">
                  <w:rPr>
                    <w:i/>
                  </w:rPr>
                  <w:t>Selected Non-Fictions</w:t>
                </w:r>
                <w:r w:rsidRPr="009F4245">
                  <w:t>.( 1999) Ed. Eliot Weinberger. New York: Penguin.</w:t>
                </w:r>
              </w:p>
              <w:p w14:paraId="34047785" w14:textId="77777777" w:rsidR="009F4245" w:rsidRPr="009F4245" w:rsidRDefault="009F4245" w:rsidP="009F4245">
                <w:pPr>
                  <w:pStyle w:val="Authornote"/>
                </w:pPr>
                <w:r w:rsidRPr="009F4245">
                  <w:rPr>
                    <w:i/>
                  </w:rPr>
                  <w:t>Selected Poems</w:t>
                </w:r>
                <w:r w:rsidRPr="009F4245">
                  <w:t xml:space="preserve">. (2000) Ed. Alexander Coleman. New York: Penguin. </w:t>
                </w:r>
              </w:p>
              <w:p w14:paraId="2A6A04BC" w14:textId="77777777" w:rsidR="003F0D73" w:rsidRPr="009F4245" w:rsidRDefault="009F4245" w:rsidP="009F4245">
                <w:pPr>
                  <w:pStyle w:val="Authornote"/>
                </w:pPr>
                <w:r w:rsidRPr="009F4245">
                  <w:rPr>
                    <w:i/>
                  </w:rPr>
                  <w:t>Poems of the Night</w:t>
                </w:r>
                <w:r w:rsidRPr="009F4245">
                  <w:t>. (2010) Eds. Suzanne Jill Levine and Efraín Kristal. New York: Penguin.</w:t>
                </w:r>
              </w:p>
            </w:tc>
          </w:sdtContent>
        </w:sdt>
      </w:tr>
      <w:tr w:rsidR="003235A7" w:rsidRPr="009F4245" w14:paraId="5ECD38C4" w14:textId="77777777" w:rsidTr="003235A7">
        <w:tc>
          <w:tcPr>
            <w:tcW w:w="9016" w:type="dxa"/>
          </w:tcPr>
          <w:p w14:paraId="1976B749" w14:textId="77777777" w:rsidR="003235A7" w:rsidRPr="009F4245" w:rsidRDefault="003235A7" w:rsidP="008A5B87">
            <w:r w:rsidRPr="009F4245">
              <w:rPr>
                <w:u w:val="single"/>
              </w:rPr>
              <w:lastRenderedPageBreak/>
              <w:t>Further reading</w:t>
            </w:r>
            <w:r w:rsidRPr="009F4245">
              <w:t>:</w:t>
            </w:r>
          </w:p>
          <w:sdt>
            <w:sdtPr>
              <w:alias w:val="Further reading"/>
              <w:tag w:val="furtherReading"/>
              <w:id w:val="-1516217107"/>
              <w:placeholder>
                <w:docPart w:val="31DF7A5E8F3F1049B4C2DD47CAE3C9F9"/>
              </w:placeholder>
            </w:sdtPr>
            <w:sdtEndPr/>
            <w:sdtContent>
              <w:p w14:paraId="7A621C12" w14:textId="77777777" w:rsidR="009F4245" w:rsidRDefault="009F4245" w:rsidP="009F4245"/>
              <w:p w14:paraId="20DBD35B" w14:textId="77777777" w:rsidR="009F4245" w:rsidRDefault="00FC0AB2" w:rsidP="009F4245">
                <w:sdt>
                  <w:sdtPr>
                    <w:id w:val="-1355960645"/>
                    <w:citation/>
                  </w:sdtPr>
                  <w:sdtEndPr/>
                  <w:sdtContent>
                    <w:r w:rsidR="009F4245">
                      <w:fldChar w:fldCharType="begin"/>
                    </w:r>
                    <w:r w:rsidR="009F4245">
                      <w:rPr>
                        <w:lang w:val="en-US"/>
                      </w:rPr>
                      <w:instrText xml:space="preserve"> CITATION Aiz90 \l 1033 </w:instrText>
                    </w:r>
                    <w:r w:rsidR="009F4245">
                      <w:fldChar w:fldCharType="separate"/>
                    </w:r>
                    <w:r w:rsidR="009F4245">
                      <w:rPr>
                        <w:noProof/>
                        <w:lang w:val="en-US"/>
                      </w:rPr>
                      <w:t>(Aizenberg)</w:t>
                    </w:r>
                    <w:r w:rsidR="009F4245">
                      <w:fldChar w:fldCharType="end"/>
                    </w:r>
                  </w:sdtContent>
                </w:sdt>
              </w:p>
              <w:p w14:paraId="2C48046E" w14:textId="77777777" w:rsidR="009F4245" w:rsidRDefault="009F4245" w:rsidP="009F4245"/>
              <w:p w14:paraId="61DEB68B" w14:textId="77777777" w:rsidR="009F4245" w:rsidRDefault="00FC0AB2" w:rsidP="009F4245">
                <w:sdt>
                  <w:sdtPr>
                    <w:id w:val="-529344674"/>
                    <w:citation/>
                  </w:sdtPr>
                  <w:sdtEndPr/>
                  <w:sdtContent>
                    <w:r w:rsidR="009F4245">
                      <w:fldChar w:fldCharType="begin"/>
                    </w:r>
                    <w:r w:rsidR="009F4245">
                      <w:rPr>
                        <w:lang w:val="en-US"/>
                      </w:rPr>
                      <w:instrText xml:space="preserve"> CITATION Ala88 \l 1033 </w:instrText>
                    </w:r>
                    <w:r w:rsidR="009F4245">
                      <w:fldChar w:fldCharType="separate"/>
                    </w:r>
                    <w:r w:rsidR="009F4245">
                      <w:rPr>
                        <w:noProof/>
                        <w:lang w:val="en-US"/>
                      </w:rPr>
                      <w:t>(Alazraki)</w:t>
                    </w:r>
                    <w:r w:rsidR="009F4245">
                      <w:fldChar w:fldCharType="end"/>
                    </w:r>
                  </w:sdtContent>
                </w:sdt>
              </w:p>
              <w:p w14:paraId="380DD062" w14:textId="77777777" w:rsidR="009F4245" w:rsidRDefault="009F4245" w:rsidP="009F4245"/>
              <w:p w14:paraId="050009EF" w14:textId="77777777" w:rsidR="009F4245" w:rsidRDefault="00FC0AB2" w:rsidP="009F4245">
                <w:sdt>
                  <w:sdtPr>
                    <w:id w:val="818694835"/>
                    <w:citation/>
                  </w:sdtPr>
                  <w:sdtEndPr/>
                  <w:sdtContent>
                    <w:r w:rsidR="009F4245">
                      <w:fldChar w:fldCharType="begin"/>
                    </w:r>
                    <w:r w:rsidR="009F4245">
                      <w:rPr>
                        <w:lang w:val="en-US"/>
                      </w:rPr>
                      <w:instrText xml:space="preserve"> CITATION Kri02 \l 1033 </w:instrText>
                    </w:r>
                    <w:r w:rsidR="009F4245">
                      <w:fldChar w:fldCharType="separate"/>
                    </w:r>
                    <w:r w:rsidR="009F4245">
                      <w:rPr>
                        <w:noProof/>
                        <w:lang w:val="en-US"/>
                      </w:rPr>
                      <w:t>(Kristal)</w:t>
                    </w:r>
                    <w:r w:rsidR="009F4245">
                      <w:fldChar w:fldCharType="end"/>
                    </w:r>
                  </w:sdtContent>
                </w:sdt>
              </w:p>
              <w:p w14:paraId="6D89D07E" w14:textId="77777777" w:rsidR="009F4245" w:rsidRDefault="009F4245" w:rsidP="009F4245"/>
              <w:p w14:paraId="5B10543A" w14:textId="77777777" w:rsidR="009F4245" w:rsidRDefault="00FC0AB2" w:rsidP="009F4245">
                <w:sdt>
                  <w:sdtPr>
                    <w:id w:val="-587454160"/>
                    <w:citation/>
                  </w:sdtPr>
                  <w:sdtEndPr/>
                  <w:sdtContent>
                    <w:r w:rsidR="009F4245">
                      <w:fldChar w:fldCharType="begin"/>
                    </w:r>
                    <w:r w:rsidR="009F4245">
                      <w:rPr>
                        <w:lang w:val="en-US"/>
                      </w:rPr>
                      <w:instrText xml:space="preserve"> CITATION Mon72 \l 1033 </w:instrText>
                    </w:r>
                    <w:r w:rsidR="009F4245">
                      <w:fldChar w:fldCharType="separate"/>
                    </w:r>
                    <w:r w:rsidR="009F4245">
                      <w:rPr>
                        <w:noProof/>
                        <w:lang w:val="en-US"/>
                      </w:rPr>
                      <w:t>(Monegal)</w:t>
                    </w:r>
                    <w:r w:rsidR="009F4245">
                      <w:fldChar w:fldCharType="end"/>
                    </w:r>
                  </w:sdtContent>
                </w:sdt>
              </w:p>
              <w:p w14:paraId="1C7C28FD" w14:textId="77777777" w:rsidR="009F4245" w:rsidRDefault="009F4245" w:rsidP="009F4245"/>
              <w:p w14:paraId="623D254F" w14:textId="77777777" w:rsidR="003235A7" w:rsidRPr="009F4245" w:rsidRDefault="00FC0AB2" w:rsidP="009F4245">
                <w:sdt>
                  <w:sdtPr>
                    <w:id w:val="-181898757"/>
                    <w:citation/>
                  </w:sdtPr>
                  <w:sdtEndPr/>
                  <w:sdtContent>
                    <w:r w:rsidR="009F4245">
                      <w:fldChar w:fldCharType="begin"/>
                    </w:r>
                    <w:r w:rsidR="009F4245">
                      <w:rPr>
                        <w:lang w:val="en-US"/>
                      </w:rPr>
                      <w:instrText xml:space="preserve"> CITATION Tch08 \l 1033 </w:instrText>
                    </w:r>
                    <w:r w:rsidR="009F4245">
                      <w:fldChar w:fldCharType="separate"/>
                    </w:r>
                    <w:r w:rsidR="009F4245">
                      <w:rPr>
                        <w:noProof/>
                        <w:lang w:val="en-US"/>
                      </w:rPr>
                      <w:t>(Tcherepashenets)</w:t>
                    </w:r>
                    <w:r w:rsidR="009F4245">
                      <w:fldChar w:fldCharType="end"/>
                    </w:r>
                  </w:sdtContent>
                </w:sdt>
              </w:p>
            </w:sdtContent>
          </w:sdt>
        </w:tc>
      </w:tr>
    </w:tbl>
    <w:p w14:paraId="020794B8" w14:textId="77777777" w:rsidR="00C27FAB" w:rsidRPr="009F4245" w:rsidRDefault="00C27FAB" w:rsidP="00B33145"/>
    <w:sectPr w:rsidR="00C27FAB" w:rsidRPr="009F4245">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0-27T22:38:00Z" w:initials="KT">
    <w:p w14:paraId="666039D4" w14:textId="119E62F7" w:rsidR="00FC0AB2" w:rsidRDefault="00FC0AB2">
      <w:pPr>
        <w:pStyle w:val="CommentText"/>
      </w:pPr>
      <w:r>
        <w:rPr>
          <w:rStyle w:val="CommentReference"/>
        </w:rPr>
        <w:annotationRef/>
      </w:r>
      <w:r>
        <w:t>Image links do not work.</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584EE" w14:textId="77777777" w:rsidR="009F4245" w:rsidRDefault="009F4245" w:rsidP="007A0D55">
      <w:pPr>
        <w:spacing w:after="0" w:line="240" w:lineRule="auto"/>
      </w:pPr>
      <w:r>
        <w:separator/>
      </w:r>
    </w:p>
  </w:endnote>
  <w:endnote w:type="continuationSeparator" w:id="0">
    <w:p w14:paraId="7A54AF30" w14:textId="77777777" w:rsidR="009F4245" w:rsidRDefault="009F42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E0FE54" w14:textId="77777777" w:rsidR="009F4245" w:rsidRDefault="009F4245" w:rsidP="007A0D55">
      <w:pPr>
        <w:spacing w:after="0" w:line="240" w:lineRule="auto"/>
      </w:pPr>
      <w:r>
        <w:separator/>
      </w:r>
    </w:p>
  </w:footnote>
  <w:footnote w:type="continuationSeparator" w:id="0">
    <w:p w14:paraId="7B5019D3" w14:textId="77777777" w:rsidR="009F4245" w:rsidRDefault="009F42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101E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BA34EF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24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7DC7"/>
    <w:rsid w:val="007B3377"/>
    <w:rsid w:val="007E5F44"/>
    <w:rsid w:val="00821DE3"/>
    <w:rsid w:val="00846CE1"/>
    <w:rsid w:val="008A5B87"/>
    <w:rsid w:val="00922950"/>
    <w:rsid w:val="009A7264"/>
    <w:rsid w:val="009D1606"/>
    <w:rsid w:val="009E18A1"/>
    <w:rsid w:val="009E73D7"/>
    <w:rsid w:val="009F424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0AB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DA3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42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4245"/>
    <w:rPr>
      <w:rFonts w:ascii="Lucida Grande" w:hAnsi="Lucida Grande"/>
      <w:sz w:val="18"/>
      <w:szCs w:val="18"/>
    </w:rPr>
  </w:style>
  <w:style w:type="character" w:styleId="CommentReference">
    <w:name w:val="annotation reference"/>
    <w:basedOn w:val="DefaultParagraphFont"/>
    <w:uiPriority w:val="99"/>
    <w:semiHidden/>
    <w:rsid w:val="00FC0AB2"/>
    <w:rPr>
      <w:sz w:val="18"/>
      <w:szCs w:val="18"/>
    </w:rPr>
  </w:style>
  <w:style w:type="paragraph" w:styleId="CommentText">
    <w:name w:val="annotation text"/>
    <w:basedOn w:val="Normal"/>
    <w:link w:val="CommentTextChar"/>
    <w:uiPriority w:val="99"/>
    <w:semiHidden/>
    <w:rsid w:val="00FC0AB2"/>
    <w:pPr>
      <w:spacing w:line="240" w:lineRule="auto"/>
    </w:pPr>
    <w:rPr>
      <w:sz w:val="24"/>
      <w:szCs w:val="24"/>
    </w:rPr>
  </w:style>
  <w:style w:type="character" w:customStyle="1" w:styleId="CommentTextChar">
    <w:name w:val="Comment Text Char"/>
    <w:basedOn w:val="DefaultParagraphFont"/>
    <w:link w:val="CommentText"/>
    <w:uiPriority w:val="99"/>
    <w:semiHidden/>
    <w:rsid w:val="00FC0AB2"/>
    <w:rPr>
      <w:sz w:val="24"/>
      <w:szCs w:val="24"/>
    </w:rPr>
  </w:style>
  <w:style w:type="paragraph" w:styleId="CommentSubject">
    <w:name w:val="annotation subject"/>
    <w:basedOn w:val="CommentText"/>
    <w:next w:val="CommentText"/>
    <w:link w:val="CommentSubjectChar"/>
    <w:uiPriority w:val="99"/>
    <w:semiHidden/>
    <w:rsid w:val="00FC0AB2"/>
    <w:rPr>
      <w:b/>
      <w:bCs/>
      <w:sz w:val="20"/>
      <w:szCs w:val="20"/>
    </w:rPr>
  </w:style>
  <w:style w:type="character" w:customStyle="1" w:styleId="CommentSubjectChar">
    <w:name w:val="Comment Subject Char"/>
    <w:basedOn w:val="CommentTextChar"/>
    <w:link w:val="CommentSubject"/>
    <w:uiPriority w:val="99"/>
    <w:semiHidden/>
    <w:rsid w:val="00FC0AB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42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4245"/>
    <w:rPr>
      <w:rFonts w:ascii="Lucida Grande" w:hAnsi="Lucida Grande"/>
      <w:sz w:val="18"/>
      <w:szCs w:val="18"/>
    </w:rPr>
  </w:style>
  <w:style w:type="character" w:styleId="CommentReference">
    <w:name w:val="annotation reference"/>
    <w:basedOn w:val="DefaultParagraphFont"/>
    <w:uiPriority w:val="99"/>
    <w:semiHidden/>
    <w:rsid w:val="00FC0AB2"/>
    <w:rPr>
      <w:sz w:val="18"/>
      <w:szCs w:val="18"/>
    </w:rPr>
  </w:style>
  <w:style w:type="paragraph" w:styleId="CommentText">
    <w:name w:val="annotation text"/>
    <w:basedOn w:val="Normal"/>
    <w:link w:val="CommentTextChar"/>
    <w:uiPriority w:val="99"/>
    <w:semiHidden/>
    <w:rsid w:val="00FC0AB2"/>
    <w:pPr>
      <w:spacing w:line="240" w:lineRule="auto"/>
    </w:pPr>
    <w:rPr>
      <w:sz w:val="24"/>
      <w:szCs w:val="24"/>
    </w:rPr>
  </w:style>
  <w:style w:type="character" w:customStyle="1" w:styleId="CommentTextChar">
    <w:name w:val="Comment Text Char"/>
    <w:basedOn w:val="DefaultParagraphFont"/>
    <w:link w:val="CommentText"/>
    <w:uiPriority w:val="99"/>
    <w:semiHidden/>
    <w:rsid w:val="00FC0AB2"/>
    <w:rPr>
      <w:sz w:val="24"/>
      <w:szCs w:val="24"/>
    </w:rPr>
  </w:style>
  <w:style w:type="paragraph" w:styleId="CommentSubject">
    <w:name w:val="annotation subject"/>
    <w:basedOn w:val="CommentText"/>
    <w:next w:val="CommentText"/>
    <w:link w:val="CommentSubjectChar"/>
    <w:uiPriority w:val="99"/>
    <w:semiHidden/>
    <w:rsid w:val="00FC0AB2"/>
    <w:rPr>
      <w:b/>
      <w:bCs/>
      <w:sz w:val="20"/>
      <w:szCs w:val="20"/>
    </w:rPr>
  </w:style>
  <w:style w:type="character" w:customStyle="1" w:styleId="CommentSubjectChar">
    <w:name w:val="Comment Subject Char"/>
    <w:basedOn w:val="CommentTextChar"/>
    <w:link w:val="CommentSubject"/>
    <w:uiPriority w:val="99"/>
    <w:semiHidden/>
    <w:rsid w:val="00FC0A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5B2BC9C165634A82430FAB163E3493"/>
        <w:category>
          <w:name w:val="General"/>
          <w:gallery w:val="placeholder"/>
        </w:category>
        <w:types>
          <w:type w:val="bbPlcHdr"/>
        </w:types>
        <w:behaviors>
          <w:behavior w:val="content"/>
        </w:behaviors>
        <w:guid w:val="{0BE187F3-4310-0B4B-8BE3-4D21351DBB92}"/>
      </w:docPartPr>
      <w:docPartBody>
        <w:p w:rsidR="00386D57" w:rsidRDefault="00386D57">
          <w:pPr>
            <w:pStyle w:val="645B2BC9C165634A82430FAB163E3493"/>
          </w:pPr>
          <w:r w:rsidRPr="00CC586D">
            <w:rPr>
              <w:rStyle w:val="PlaceholderText"/>
              <w:b/>
              <w:color w:val="FFFFFF" w:themeColor="background1"/>
            </w:rPr>
            <w:t>[Salutation]</w:t>
          </w:r>
        </w:p>
      </w:docPartBody>
    </w:docPart>
    <w:docPart>
      <w:docPartPr>
        <w:name w:val="64EE7E6DA29BC34DBE231AD8CBE93638"/>
        <w:category>
          <w:name w:val="General"/>
          <w:gallery w:val="placeholder"/>
        </w:category>
        <w:types>
          <w:type w:val="bbPlcHdr"/>
        </w:types>
        <w:behaviors>
          <w:behavior w:val="content"/>
        </w:behaviors>
        <w:guid w:val="{0CAA8E0D-FA24-3140-A388-FC79119A923C}"/>
      </w:docPartPr>
      <w:docPartBody>
        <w:p w:rsidR="00386D57" w:rsidRDefault="00386D57">
          <w:pPr>
            <w:pStyle w:val="64EE7E6DA29BC34DBE231AD8CBE93638"/>
          </w:pPr>
          <w:r>
            <w:rPr>
              <w:rStyle w:val="PlaceholderText"/>
            </w:rPr>
            <w:t>[First name]</w:t>
          </w:r>
        </w:p>
      </w:docPartBody>
    </w:docPart>
    <w:docPart>
      <w:docPartPr>
        <w:name w:val="6136FB07704F144088410666AA310272"/>
        <w:category>
          <w:name w:val="General"/>
          <w:gallery w:val="placeholder"/>
        </w:category>
        <w:types>
          <w:type w:val="bbPlcHdr"/>
        </w:types>
        <w:behaviors>
          <w:behavior w:val="content"/>
        </w:behaviors>
        <w:guid w:val="{FC2EFC9F-FACC-3147-8D39-933FD91A7872}"/>
      </w:docPartPr>
      <w:docPartBody>
        <w:p w:rsidR="00386D57" w:rsidRDefault="00386D57">
          <w:pPr>
            <w:pStyle w:val="6136FB07704F144088410666AA310272"/>
          </w:pPr>
          <w:r>
            <w:rPr>
              <w:rStyle w:val="PlaceholderText"/>
            </w:rPr>
            <w:t>[Middle name]</w:t>
          </w:r>
        </w:p>
      </w:docPartBody>
    </w:docPart>
    <w:docPart>
      <w:docPartPr>
        <w:name w:val="B8759147BCAB75458A0FA352679613A5"/>
        <w:category>
          <w:name w:val="General"/>
          <w:gallery w:val="placeholder"/>
        </w:category>
        <w:types>
          <w:type w:val="bbPlcHdr"/>
        </w:types>
        <w:behaviors>
          <w:behavior w:val="content"/>
        </w:behaviors>
        <w:guid w:val="{5366764D-A3F3-6041-B5DF-734F02D8501C}"/>
      </w:docPartPr>
      <w:docPartBody>
        <w:p w:rsidR="00386D57" w:rsidRDefault="00386D57">
          <w:pPr>
            <w:pStyle w:val="B8759147BCAB75458A0FA352679613A5"/>
          </w:pPr>
          <w:r>
            <w:rPr>
              <w:rStyle w:val="PlaceholderText"/>
            </w:rPr>
            <w:t>[Last name]</w:t>
          </w:r>
        </w:p>
      </w:docPartBody>
    </w:docPart>
    <w:docPart>
      <w:docPartPr>
        <w:name w:val="746566E5615571498698EA081C31D825"/>
        <w:category>
          <w:name w:val="General"/>
          <w:gallery w:val="placeholder"/>
        </w:category>
        <w:types>
          <w:type w:val="bbPlcHdr"/>
        </w:types>
        <w:behaviors>
          <w:behavior w:val="content"/>
        </w:behaviors>
        <w:guid w:val="{05DC8A8F-37FD-EB49-BAAE-32469B084AB6}"/>
      </w:docPartPr>
      <w:docPartBody>
        <w:p w:rsidR="00386D57" w:rsidRDefault="00386D57">
          <w:pPr>
            <w:pStyle w:val="746566E5615571498698EA081C31D825"/>
          </w:pPr>
          <w:r>
            <w:rPr>
              <w:rStyle w:val="PlaceholderText"/>
            </w:rPr>
            <w:t>[Enter your biography]</w:t>
          </w:r>
        </w:p>
      </w:docPartBody>
    </w:docPart>
    <w:docPart>
      <w:docPartPr>
        <w:name w:val="73A04FD0109CCE4AAA316EABCE84E5BB"/>
        <w:category>
          <w:name w:val="General"/>
          <w:gallery w:val="placeholder"/>
        </w:category>
        <w:types>
          <w:type w:val="bbPlcHdr"/>
        </w:types>
        <w:behaviors>
          <w:behavior w:val="content"/>
        </w:behaviors>
        <w:guid w:val="{9D830EEF-A03E-B342-BBBF-8DB71B322281}"/>
      </w:docPartPr>
      <w:docPartBody>
        <w:p w:rsidR="00386D57" w:rsidRDefault="00386D57">
          <w:pPr>
            <w:pStyle w:val="73A04FD0109CCE4AAA316EABCE84E5BB"/>
          </w:pPr>
          <w:r>
            <w:rPr>
              <w:rStyle w:val="PlaceholderText"/>
            </w:rPr>
            <w:t>[Enter the institution with which you are affiliated]</w:t>
          </w:r>
        </w:p>
      </w:docPartBody>
    </w:docPart>
    <w:docPart>
      <w:docPartPr>
        <w:name w:val="A5F5F07C9D8E244CB353EE5B0EA35C01"/>
        <w:category>
          <w:name w:val="General"/>
          <w:gallery w:val="placeholder"/>
        </w:category>
        <w:types>
          <w:type w:val="bbPlcHdr"/>
        </w:types>
        <w:behaviors>
          <w:behavior w:val="content"/>
        </w:behaviors>
        <w:guid w:val="{00068D87-1C7C-FC4F-A7D0-23DC43AE5EDB}"/>
      </w:docPartPr>
      <w:docPartBody>
        <w:p w:rsidR="00386D57" w:rsidRDefault="00386D57">
          <w:pPr>
            <w:pStyle w:val="A5F5F07C9D8E244CB353EE5B0EA35C01"/>
          </w:pPr>
          <w:r w:rsidRPr="00EF74F7">
            <w:rPr>
              <w:b/>
              <w:color w:val="808080" w:themeColor="background1" w:themeShade="80"/>
            </w:rPr>
            <w:t>[Enter the headword for your article]</w:t>
          </w:r>
        </w:p>
      </w:docPartBody>
    </w:docPart>
    <w:docPart>
      <w:docPartPr>
        <w:name w:val="D58B932C823C584C91EEAF749D4599C4"/>
        <w:category>
          <w:name w:val="General"/>
          <w:gallery w:val="placeholder"/>
        </w:category>
        <w:types>
          <w:type w:val="bbPlcHdr"/>
        </w:types>
        <w:behaviors>
          <w:behavior w:val="content"/>
        </w:behaviors>
        <w:guid w:val="{D7EAB089-F255-024C-A6EC-E494C8A68284}"/>
      </w:docPartPr>
      <w:docPartBody>
        <w:p w:rsidR="00386D57" w:rsidRDefault="00386D57">
          <w:pPr>
            <w:pStyle w:val="D58B932C823C584C91EEAF749D4599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D5149D9ABC7B459079363B3A9D548F"/>
        <w:category>
          <w:name w:val="General"/>
          <w:gallery w:val="placeholder"/>
        </w:category>
        <w:types>
          <w:type w:val="bbPlcHdr"/>
        </w:types>
        <w:behaviors>
          <w:behavior w:val="content"/>
        </w:behaviors>
        <w:guid w:val="{BBD72952-FF4D-AF49-9936-6D8C7B6106EB}"/>
      </w:docPartPr>
      <w:docPartBody>
        <w:p w:rsidR="00386D57" w:rsidRDefault="00386D57">
          <w:pPr>
            <w:pStyle w:val="13D5149D9ABC7B459079363B3A9D54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C96E8DE038394789C43F3EEE131A35"/>
        <w:category>
          <w:name w:val="General"/>
          <w:gallery w:val="placeholder"/>
        </w:category>
        <w:types>
          <w:type w:val="bbPlcHdr"/>
        </w:types>
        <w:behaviors>
          <w:behavior w:val="content"/>
        </w:behaviors>
        <w:guid w:val="{AEF4F4D4-4E06-8E47-9EBD-44C6799BCB3A}"/>
      </w:docPartPr>
      <w:docPartBody>
        <w:p w:rsidR="00386D57" w:rsidRDefault="00386D57">
          <w:pPr>
            <w:pStyle w:val="68C96E8DE038394789C43F3EEE131A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DF7A5E8F3F1049B4C2DD47CAE3C9F9"/>
        <w:category>
          <w:name w:val="General"/>
          <w:gallery w:val="placeholder"/>
        </w:category>
        <w:types>
          <w:type w:val="bbPlcHdr"/>
        </w:types>
        <w:behaviors>
          <w:behavior w:val="content"/>
        </w:behaviors>
        <w:guid w:val="{31412384-DCF7-464B-9DE8-AD46915CACAC}"/>
      </w:docPartPr>
      <w:docPartBody>
        <w:p w:rsidR="00386D57" w:rsidRDefault="00386D57">
          <w:pPr>
            <w:pStyle w:val="31DF7A5E8F3F1049B4C2DD47CAE3C9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57"/>
    <w:rsid w:val="00386D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5B2BC9C165634A82430FAB163E3493">
    <w:name w:val="645B2BC9C165634A82430FAB163E3493"/>
  </w:style>
  <w:style w:type="paragraph" w:customStyle="1" w:styleId="64EE7E6DA29BC34DBE231AD8CBE93638">
    <w:name w:val="64EE7E6DA29BC34DBE231AD8CBE93638"/>
  </w:style>
  <w:style w:type="paragraph" w:customStyle="1" w:styleId="6136FB07704F144088410666AA310272">
    <w:name w:val="6136FB07704F144088410666AA310272"/>
  </w:style>
  <w:style w:type="paragraph" w:customStyle="1" w:styleId="B8759147BCAB75458A0FA352679613A5">
    <w:name w:val="B8759147BCAB75458A0FA352679613A5"/>
  </w:style>
  <w:style w:type="paragraph" w:customStyle="1" w:styleId="746566E5615571498698EA081C31D825">
    <w:name w:val="746566E5615571498698EA081C31D825"/>
  </w:style>
  <w:style w:type="paragraph" w:customStyle="1" w:styleId="73A04FD0109CCE4AAA316EABCE84E5BB">
    <w:name w:val="73A04FD0109CCE4AAA316EABCE84E5BB"/>
  </w:style>
  <w:style w:type="paragraph" w:customStyle="1" w:styleId="A5F5F07C9D8E244CB353EE5B0EA35C01">
    <w:name w:val="A5F5F07C9D8E244CB353EE5B0EA35C01"/>
  </w:style>
  <w:style w:type="paragraph" w:customStyle="1" w:styleId="D58B932C823C584C91EEAF749D4599C4">
    <w:name w:val="D58B932C823C584C91EEAF749D4599C4"/>
  </w:style>
  <w:style w:type="paragraph" w:customStyle="1" w:styleId="13D5149D9ABC7B459079363B3A9D548F">
    <w:name w:val="13D5149D9ABC7B459079363B3A9D548F"/>
  </w:style>
  <w:style w:type="paragraph" w:customStyle="1" w:styleId="68C96E8DE038394789C43F3EEE131A35">
    <w:name w:val="68C96E8DE038394789C43F3EEE131A35"/>
  </w:style>
  <w:style w:type="paragraph" w:customStyle="1" w:styleId="31DF7A5E8F3F1049B4C2DD47CAE3C9F9">
    <w:name w:val="31DF7A5E8F3F1049B4C2DD47CAE3C9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5B2BC9C165634A82430FAB163E3493">
    <w:name w:val="645B2BC9C165634A82430FAB163E3493"/>
  </w:style>
  <w:style w:type="paragraph" w:customStyle="1" w:styleId="64EE7E6DA29BC34DBE231AD8CBE93638">
    <w:name w:val="64EE7E6DA29BC34DBE231AD8CBE93638"/>
  </w:style>
  <w:style w:type="paragraph" w:customStyle="1" w:styleId="6136FB07704F144088410666AA310272">
    <w:name w:val="6136FB07704F144088410666AA310272"/>
  </w:style>
  <w:style w:type="paragraph" w:customStyle="1" w:styleId="B8759147BCAB75458A0FA352679613A5">
    <w:name w:val="B8759147BCAB75458A0FA352679613A5"/>
  </w:style>
  <w:style w:type="paragraph" w:customStyle="1" w:styleId="746566E5615571498698EA081C31D825">
    <w:name w:val="746566E5615571498698EA081C31D825"/>
  </w:style>
  <w:style w:type="paragraph" w:customStyle="1" w:styleId="73A04FD0109CCE4AAA316EABCE84E5BB">
    <w:name w:val="73A04FD0109CCE4AAA316EABCE84E5BB"/>
  </w:style>
  <w:style w:type="paragraph" w:customStyle="1" w:styleId="A5F5F07C9D8E244CB353EE5B0EA35C01">
    <w:name w:val="A5F5F07C9D8E244CB353EE5B0EA35C01"/>
  </w:style>
  <w:style w:type="paragraph" w:customStyle="1" w:styleId="D58B932C823C584C91EEAF749D4599C4">
    <w:name w:val="D58B932C823C584C91EEAF749D4599C4"/>
  </w:style>
  <w:style w:type="paragraph" w:customStyle="1" w:styleId="13D5149D9ABC7B459079363B3A9D548F">
    <w:name w:val="13D5149D9ABC7B459079363B3A9D548F"/>
  </w:style>
  <w:style w:type="paragraph" w:customStyle="1" w:styleId="68C96E8DE038394789C43F3EEE131A35">
    <w:name w:val="68C96E8DE038394789C43F3EEE131A35"/>
  </w:style>
  <w:style w:type="paragraph" w:customStyle="1" w:styleId="31DF7A5E8F3F1049B4C2DD47CAE3C9F9">
    <w:name w:val="31DF7A5E8F3F1049B4C2DD47CAE3C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Aiz90</b:Tag>
    <b:SourceType>Book</b:SourceType>
    <b:Guid>{C498325E-1B38-1B40-B860-4ED2814A3AC8}</b:Guid>
    <b:Title>Borges and His Successors: The Borgesian Impact on Literature and Arts</b:Title>
    <b:City>Columbia</b:City>
    <b:Publisher>University of Missouri Press</b:Publisher>
    <b:Year>1990</b:Year>
    <b:Author>
      <b:Editor>
        <b:NameList>
          <b:Person>
            <b:Last>Aizenberg</b:Last>
            <b:First>Edna</b:First>
          </b:Person>
        </b:NameList>
      </b:Editor>
    </b:Author>
    <b:RefOrder>1</b:RefOrder>
  </b:Source>
  <b:Source>
    <b:Tag>Ala88</b:Tag>
    <b:SourceType>Book</b:SourceType>
    <b:Guid>{762BE42A-D011-BB4F-AAB7-1005555A5D0B}</b:Guid>
    <b:Author>
      <b:Author>
        <b:NameList>
          <b:Person>
            <b:Last>Alazraki</b:Last>
            <b:First>Jaime</b:First>
          </b:Person>
        </b:NameList>
      </b:Author>
    </b:Author>
    <b:Title>“Borges and the Kabbalah” and Other Essays on his Fiction and Poetry</b:Title>
    <b:City>Cambridge</b:City>
    <b:Publisher>Cambridge UP</b:Publisher>
    <b:Year>1988</b:Year>
    <b:RefOrder>2</b:RefOrder>
  </b:Source>
  <b:Source>
    <b:Tag>Kri02</b:Tag>
    <b:SourceType>Book</b:SourceType>
    <b:Guid>{64B09B32-3BC0-9D4D-9E6F-405C8967DC64}</b:Guid>
    <b:Author>
      <b:Author>
        <b:NameList>
          <b:Person>
            <b:Last>Kristal</b:Last>
            <b:First>Efrain</b:First>
          </b:Person>
        </b:NameList>
      </b:Author>
    </b:Author>
    <b:Title>Invisible Work. Borges and Translation</b:Title>
    <b:City>Nashville</b:City>
    <b:Publisher>Vanderbilt University Press</b:Publisher>
    <b:Year>2002</b:Year>
    <b:RefOrder>3</b:RefOrder>
  </b:Source>
  <b:Source>
    <b:Tag>Mon72</b:Tag>
    <b:SourceType>Book</b:SourceType>
    <b:Guid>{7F229639-66C2-8A41-A74B-7E289A708AA4}</b:Guid>
    <b:Author>
      <b:Author>
        <b:NameList>
          <b:Person>
            <b:Last>Monegal</b:Last>
            <b:First>Emir</b:First>
            <b:Middle>Rodriguez</b:Middle>
          </b:Person>
        </b:NameList>
      </b:Author>
    </b:Author>
    <b:Title>Jorge Luis Borges a Literary Biography</b:Title>
    <b:City>New York</b:City>
    <b:Publisher>E. P. Dutton</b:Publisher>
    <b:Year>1972</b:Year>
    <b:RefOrder>4</b:RefOrder>
  </b:Source>
  <b:Source>
    <b:Tag>Tch08</b:Tag>
    <b:SourceType>Book</b:SourceType>
    <b:Guid>{57714649-7DA2-1549-B191-6563EF873DA5}</b:Guid>
    <b:Author>
      <b:Author>
        <b:NameList>
          <b:Person>
            <b:Last>Tcherepashenets</b:Last>
            <b:First>Nataly</b:First>
          </b:Person>
        </b:NameList>
      </b:Author>
    </b:Author>
    <b:Title>Place and Displacement in the Narrative Worlds of Jorge Luis Borges and Julio Cortázar</b:Title>
    <b:City>New York</b:City>
    <b:Publisher>Peter Lang</b:Publisher>
    <b:Year>2008</b:Year>
    <b:RefOrder>5</b:RefOrder>
  </b:Source>
</b:Sources>
</file>

<file path=customXml/itemProps1.xml><?xml version="1.0" encoding="utf-8"?>
<ds:datastoreItem xmlns:ds="http://schemas.openxmlformats.org/officeDocument/2006/customXml" ds:itemID="{EBD838E5-4FCC-8D4C-86C8-04B5A488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4</Pages>
  <Words>1675</Words>
  <Characters>9548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3</cp:revision>
  <dcterms:created xsi:type="dcterms:W3CDTF">2015-10-28T05:28:00Z</dcterms:created>
  <dcterms:modified xsi:type="dcterms:W3CDTF">2015-10-28T05:38:00Z</dcterms:modified>
</cp:coreProperties>
</file>