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C20B67">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FAA16D514205459E0763B7C8143527"/>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6C5BBC21043D4C90908DB863E865FD"/>
            </w:placeholder>
            <w:text/>
          </w:sdtPr>
          <w:sdtContent>
            <w:tc>
              <w:tcPr>
                <w:tcW w:w="2073" w:type="dxa"/>
              </w:tcPr>
              <w:p w:rsidR="00B574C9" w:rsidRPr="00C20B67" w:rsidRDefault="00C20B67" w:rsidP="00C20B67">
                <w:r w:rsidRPr="00C20B67">
                  <w:rPr>
                    <w:rFonts w:ascii="Calibri" w:eastAsia="Times New Roman" w:hAnsi="Calibri" w:cs="Times New Roman"/>
                    <w:szCs w:val="20"/>
                    <w:lang w:val="en-CA"/>
                  </w:rPr>
                  <w:t>Melissa</w:t>
                </w:r>
              </w:p>
            </w:tc>
          </w:sdtContent>
        </w:sdt>
        <w:sdt>
          <w:sdtPr>
            <w:alias w:val="Middle name"/>
            <w:tag w:val="authorMiddleName"/>
            <w:id w:val="-2076034781"/>
            <w:placeholder>
              <w:docPart w:val="96CD3EF767BBB646B42FB4B0DFF307E7"/>
            </w:placeholder>
            <w:showingPlcHdr/>
            <w:text/>
          </w:sdtPr>
          <w:sdtEndPr/>
          <w:sdtContent>
            <w:tc>
              <w:tcPr>
                <w:tcW w:w="2551" w:type="dxa"/>
              </w:tcPr>
              <w:p w:rsidR="00B574C9" w:rsidRPr="00C20B67" w:rsidRDefault="00B574C9" w:rsidP="00922950">
                <w:r w:rsidRPr="00C20B67">
                  <w:rPr>
                    <w:rStyle w:val="PlaceholderText"/>
                  </w:rPr>
                  <w:t>[Middle name]</w:t>
                </w:r>
              </w:p>
            </w:tc>
          </w:sdtContent>
        </w:sdt>
        <w:bookmarkStart w:id="0" w:name="_GoBack" w:displacedByCustomXml="next"/>
        <w:sdt>
          <w:sdtPr>
            <w:alias w:val="Last name"/>
            <w:tag w:val="authorLastName"/>
            <w:id w:val="-1088529830"/>
            <w:placeholder>
              <w:docPart w:val="BAD765E23F092949B5917E6F3663DAAD"/>
            </w:placeholder>
            <w:text/>
          </w:sdtPr>
          <w:sdtContent>
            <w:tc>
              <w:tcPr>
                <w:tcW w:w="2642" w:type="dxa"/>
              </w:tcPr>
              <w:p w:rsidR="00B574C9" w:rsidRPr="00C20B67" w:rsidRDefault="00C20B67" w:rsidP="00922950">
                <w:proofErr w:type="spellStart"/>
                <w:r w:rsidRPr="00C20B67">
                  <w:rPr>
                    <w:rFonts w:ascii="Calibri" w:eastAsia="Times New Roman" w:hAnsi="Calibri" w:cs="Times New Roman"/>
                    <w:szCs w:val="20"/>
                    <w:lang w:val="en-CA" w:eastAsia="ja-JP"/>
                  </w:rPr>
                  <w:t>Weininger</w:t>
                </w:r>
                <w:proofErr w:type="spellEnd"/>
              </w:p>
            </w:tc>
          </w:sdtContent>
        </w:sdt>
        <w:bookmarkEnd w:id="0" w:displacedByCustomXml="prev"/>
      </w:tr>
      <w:tr w:rsidR="00B574C9" w:rsidTr="00C20B67">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BF58D5E68354F41B06E8232D9A4C065"/>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C20B67">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7A678379BC7BE43A32E5C0E97F1E434"/>
            </w:placeholder>
            <w:text/>
          </w:sdtPr>
          <w:sdtContent>
            <w:tc>
              <w:tcPr>
                <w:tcW w:w="8562" w:type="dxa"/>
                <w:gridSpan w:val="4"/>
              </w:tcPr>
              <w:p w:rsidR="00B574C9" w:rsidRDefault="00C20B67" w:rsidP="00B574C9">
                <w:r w:rsidRPr="00C20B67">
                  <w:rPr>
                    <w:rFonts w:ascii="Calibri" w:eastAsia="Times New Roman" w:hAnsi="Calibri" w:cs="Times New Roman"/>
                    <w:szCs w:val="20"/>
                    <w:lang w:val="en-CA"/>
                  </w:rPr>
                  <w:t>Rice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692E1B31E825043A1F4F73E698CEDBB"/>
            </w:placeholder>
            <w:text/>
          </w:sdtPr>
          <w:sdtContent>
            <w:tc>
              <w:tcPr>
                <w:tcW w:w="9016" w:type="dxa"/>
                <w:tcMar>
                  <w:top w:w="113" w:type="dxa"/>
                  <w:bottom w:w="113" w:type="dxa"/>
                </w:tcMar>
              </w:tcPr>
              <w:p w:rsidR="003F0D73" w:rsidRPr="00FB589A" w:rsidRDefault="00C20B67" w:rsidP="00C20B67">
                <w:pPr>
                  <w:rPr>
                    <w:b/>
                  </w:rPr>
                </w:pPr>
                <w:r w:rsidRPr="00C20B67">
                  <w:rPr>
                    <w:rFonts w:eastAsiaTheme="minorEastAsia" w:cs="Times"/>
                    <w:lang w:val="en-US" w:eastAsia="ja-JP"/>
                  </w:rPr>
                  <w:t>Brenner</w:t>
                </w:r>
                <w:r w:rsidRPr="00C20B67">
                  <w:rPr>
                    <w:rFonts w:cs="Times"/>
                    <w:lang w:val="en-US"/>
                  </w:rPr>
                  <w:t xml:space="preserve">, </w:t>
                </w:r>
                <w:proofErr w:type="spellStart"/>
                <w:r w:rsidRPr="00C20B67">
                  <w:rPr>
                    <w:rFonts w:cs="Times"/>
                    <w:lang w:val="en-US"/>
                  </w:rPr>
                  <w:t>Yosef</w:t>
                </w:r>
                <w:proofErr w:type="spellEnd"/>
                <w:r w:rsidRPr="00C20B67">
                  <w:rPr>
                    <w:rFonts w:cs="Times"/>
                    <w:lang w:val="en-US"/>
                  </w:rPr>
                  <w:t xml:space="preserve"> </w:t>
                </w:r>
                <w:proofErr w:type="spellStart"/>
                <w:r w:rsidRPr="00C20B67">
                  <w:rPr>
                    <w:rFonts w:cs="Times"/>
                    <w:lang w:val="en-US"/>
                  </w:rPr>
                  <w:t>Hayim</w:t>
                </w:r>
                <w:proofErr w:type="spellEnd"/>
                <w:r w:rsidRPr="00C20B67">
                  <w:rPr>
                    <w:rFonts w:cs="Times"/>
                    <w:lang w:val="en-US"/>
                  </w:rPr>
                  <w:t xml:space="preserve"> (1881-1921)</w:t>
                </w:r>
              </w:p>
            </w:tc>
          </w:sdtContent>
        </w:sdt>
      </w:tr>
      <w:tr w:rsidR="00464699" w:rsidTr="007821B0">
        <w:sdt>
          <w:sdtPr>
            <w:alias w:val="Variant headwords"/>
            <w:tag w:val="variantHeadwords"/>
            <w:id w:val="173464402"/>
            <w:placeholder>
              <w:docPart w:val="4810797C697A204086F36867ADA627A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D6E8AF6AC13C54B8F12198682E50953"/>
            </w:placeholder>
          </w:sdtPr>
          <w:sdtEndPr/>
          <w:sdtContent>
            <w:tc>
              <w:tcPr>
                <w:tcW w:w="9016" w:type="dxa"/>
                <w:tcMar>
                  <w:top w:w="113" w:type="dxa"/>
                  <w:bottom w:w="113" w:type="dxa"/>
                </w:tcMar>
              </w:tcPr>
              <w:p w:rsidR="00C20B67" w:rsidRDefault="00C20B67" w:rsidP="00C20B67">
                <w:proofErr w:type="spellStart"/>
                <w:r>
                  <w:t>Yosef</w:t>
                </w:r>
                <w:proofErr w:type="spellEnd"/>
                <w:r>
                  <w:t xml:space="preserve"> </w:t>
                </w:r>
                <w:proofErr w:type="spellStart"/>
                <w:r>
                  <w:t>Hayim</w:t>
                </w:r>
                <w:proofErr w:type="spellEnd"/>
                <w:r>
                  <w:t xml:space="preserve"> Brenner was born in 1881 in Novi </w:t>
                </w:r>
                <w:proofErr w:type="spellStart"/>
                <w:r>
                  <w:t>Mlini</w:t>
                </w:r>
                <w:proofErr w:type="spellEnd"/>
                <w:r>
                  <w:t xml:space="preserve">, in the Russian Empire (now Ukraine).   Like many Hebrew and Yiddish writers of his generation, he received a traditional religious education but later rejected his religious training.  As a young man, Brenner migrated to urban cultural </w:t>
                </w:r>
                <w:proofErr w:type="spellStart"/>
                <w:r>
                  <w:t>centers</w:t>
                </w:r>
                <w:proofErr w:type="spellEnd"/>
                <w:r>
                  <w:t>, including London.   Brenner’s own brand of modernism was characterized by formal as well as thematic elements.  Formally, Brenner’s fiction mirrored the disintegration of modern life in its circularity and fragmentation.  Brenner himself linked what he called the “brokenness” of reality with the formal brokenness of narrative in modernist fiction like his own (</w:t>
                </w:r>
                <w:proofErr w:type="spellStart"/>
                <w:r>
                  <w:t>Pinsker</w:t>
                </w:r>
                <w:proofErr w:type="spellEnd"/>
                <w:r>
                  <w:t xml:space="preserve"> 15).  This fragmentation of the narrative reflected the existential alienation of many of his characters, </w:t>
                </w:r>
                <w:proofErr w:type="gramStart"/>
                <w:r>
                  <w:t>who</w:t>
                </w:r>
                <w:proofErr w:type="gramEnd"/>
                <w:r>
                  <w:t xml:space="preserve"> were trying to find their place in the chaos of modern life.    </w:t>
                </w:r>
              </w:p>
              <w:p w:rsidR="00C20B67" w:rsidRDefault="00C20B67" w:rsidP="00C20B67"/>
              <w:p w:rsidR="00E85A05" w:rsidRDefault="00C20B67" w:rsidP="00E85A05">
                <w:r>
                  <w:t xml:space="preserve">Like his characters, Brenner wandered widely in search of a place to call home.   In the early years of the twentieth century, Brenner lived in the regional capital of </w:t>
                </w:r>
                <w:proofErr w:type="spellStart"/>
                <w:r>
                  <w:t>Homel</w:t>
                </w:r>
                <w:proofErr w:type="spellEnd"/>
                <w:r>
                  <w:t xml:space="preserve">, where he encountered a circle of Hebrew writers and intellectuals as well as the work of Schopenhauer, </w:t>
                </w:r>
                <w:proofErr w:type="spellStart"/>
                <w:r>
                  <w:t>Nietzche</w:t>
                </w:r>
                <w:proofErr w:type="spellEnd"/>
                <w:r>
                  <w:t xml:space="preserve">, Dostoevsky, and the Russian symbolists.  Also in this period, Brenner published his first story, “Pat </w:t>
                </w:r>
                <w:proofErr w:type="spellStart"/>
                <w:r>
                  <w:t>lechem</w:t>
                </w:r>
                <w:proofErr w:type="spellEnd"/>
                <w:r>
                  <w:t xml:space="preserve">” (A Slice of Bread) in the Hebrew journal </w:t>
                </w:r>
                <w:r w:rsidRPr="003F653F">
                  <w:rPr>
                    <w:i/>
                  </w:rPr>
                  <w:t>Ha-</w:t>
                </w:r>
                <w:proofErr w:type="spellStart"/>
                <w:r w:rsidRPr="003F653F">
                  <w:rPr>
                    <w:i/>
                  </w:rPr>
                  <w:t>melitz</w:t>
                </w:r>
                <w:proofErr w:type="spellEnd"/>
                <w:r>
                  <w:t>, beginning a literary career that would continue up until his death.  In 1901 Brenner was drafted into the Russian Army, but he deserted at the outset of the Russo-Japanese War in 1904 and escaped to London.</w:t>
                </w:r>
              </w:p>
            </w:tc>
          </w:sdtContent>
        </w:sdt>
      </w:tr>
      <w:tr w:rsidR="003F0D73" w:rsidTr="003F0D73">
        <w:sdt>
          <w:sdtPr>
            <w:alias w:val="Article text"/>
            <w:tag w:val="articleText"/>
            <w:id w:val="634067588"/>
            <w:placeholder>
              <w:docPart w:val="6B8FB1FD18D4D34D9C851CF1A505BCE3"/>
            </w:placeholder>
          </w:sdtPr>
          <w:sdtEndPr>
            <w:rPr>
              <w:b/>
              <w:color w:val="385623" w:themeColor="accent6" w:themeShade="80"/>
            </w:rPr>
          </w:sdtEndPr>
          <w:sdtContent>
            <w:tc>
              <w:tcPr>
                <w:tcW w:w="9016" w:type="dxa"/>
                <w:tcMar>
                  <w:top w:w="113" w:type="dxa"/>
                  <w:bottom w:w="113" w:type="dxa"/>
                </w:tcMar>
              </w:tcPr>
              <w:p w:rsidR="00C20B67" w:rsidRDefault="00C20B67" w:rsidP="00C20B67">
                <w:proofErr w:type="spellStart"/>
                <w:r>
                  <w:t>Yosef</w:t>
                </w:r>
                <w:proofErr w:type="spellEnd"/>
                <w:r>
                  <w:t xml:space="preserve"> </w:t>
                </w:r>
                <w:proofErr w:type="spellStart"/>
                <w:r>
                  <w:t>Hayim</w:t>
                </w:r>
                <w:proofErr w:type="spellEnd"/>
                <w:r>
                  <w:t xml:space="preserve"> Brenner was born in 1881 in Novi </w:t>
                </w:r>
                <w:proofErr w:type="spellStart"/>
                <w:r>
                  <w:t>Mlini</w:t>
                </w:r>
                <w:proofErr w:type="spellEnd"/>
                <w:r>
                  <w:t xml:space="preserve">, in the Russian Empire (now Ukraine).   Like many Hebrew and Yiddish writers of his generation, he received a traditional religious education but later rejected his religious training.  As a young man, Brenner migrated to urban cultural </w:t>
                </w:r>
                <w:proofErr w:type="spellStart"/>
                <w:r>
                  <w:t>centers</w:t>
                </w:r>
                <w:proofErr w:type="spellEnd"/>
                <w:r>
                  <w:t>, including London.   Brenner’s own brand of modernism was characterized by formal as well as thematic elements.  Formally, Brenner’s fiction mirrored the disintegration of modern life in its circularity and fragmentation.  Brenner himself linked what he called the “brokenness” of reality with the formal brokenness of narrative in modernist fiction like his own (</w:t>
                </w:r>
                <w:proofErr w:type="spellStart"/>
                <w:r>
                  <w:t>Pinsker</w:t>
                </w:r>
                <w:proofErr w:type="spellEnd"/>
                <w:r>
                  <w:t xml:space="preserve"> 15).  This fragmentation of the narrative reflected the existential alienation of many of his characters, </w:t>
                </w:r>
                <w:proofErr w:type="gramStart"/>
                <w:r>
                  <w:t>who</w:t>
                </w:r>
                <w:proofErr w:type="gramEnd"/>
                <w:r>
                  <w:t xml:space="preserve"> were trying to find their place in the chaos of modern life.   </w:t>
                </w:r>
              </w:p>
              <w:p w:rsidR="00C20B67" w:rsidRDefault="00C20B67" w:rsidP="00C20B67">
                <w:r>
                  <w:t xml:space="preserve"> </w:t>
                </w:r>
              </w:p>
              <w:p w:rsidR="00C20B67" w:rsidRDefault="00C20B67" w:rsidP="00C20B67">
                <w:r>
                  <w:t xml:space="preserve">Like his characters, Brenner wandered widely in search of a place to call home.   In the early years of the twentieth century, Brenner lived in the regional capital of </w:t>
                </w:r>
                <w:proofErr w:type="spellStart"/>
                <w:r>
                  <w:t>Homel</w:t>
                </w:r>
                <w:proofErr w:type="spellEnd"/>
                <w:r>
                  <w:t xml:space="preserve">, where he encountered a circle of Hebrew writers and intellectuals as well as the work of Schopenhauer, </w:t>
                </w:r>
                <w:proofErr w:type="spellStart"/>
                <w:r>
                  <w:t>Nietzche</w:t>
                </w:r>
                <w:proofErr w:type="spellEnd"/>
                <w:r>
                  <w:t xml:space="preserve">, Dostoevsky, and the Russian symbolists.  Also in this period, Brenner published his first story, “Pat </w:t>
                </w:r>
                <w:proofErr w:type="spellStart"/>
                <w:r>
                  <w:t>lechem</w:t>
                </w:r>
                <w:proofErr w:type="spellEnd"/>
                <w:r>
                  <w:t xml:space="preserve">” (A Slice of Bread) in the Hebrew journal </w:t>
                </w:r>
                <w:r w:rsidRPr="003F653F">
                  <w:rPr>
                    <w:i/>
                  </w:rPr>
                  <w:t>Ha-</w:t>
                </w:r>
                <w:proofErr w:type="spellStart"/>
                <w:r w:rsidRPr="003F653F">
                  <w:rPr>
                    <w:i/>
                  </w:rPr>
                  <w:t>melitz</w:t>
                </w:r>
                <w:proofErr w:type="spellEnd"/>
                <w:r>
                  <w:t>, beginning a literary career that would continue up until his death.  In 1901 Brenner was drafted into the Russian Army, but he deserted at the outset of the Russo-Japanese War in 1904 and escaped to London.</w:t>
                </w:r>
              </w:p>
              <w:p w:rsidR="00C20B67" w:rsidRDefault="00C20B67" w:rsidP="00C20B67"/>
              <w:p w:rsidR="00C20B67" w:rsidRDefault="00C20B67" w:rsidP="00C20B67">
                <w:r>
                  <w:t xml:space="preserve">Brenner’s sojourn in London brought him into contact not only with a community of modern Hebrew writers, but also with English modernism itself.  There Brenner edited the Hebrew monthly </w:t>
                </w:r>
                <w:r w:rsidRPr="00FC19BB">
                  <w:rPr>
                    <w:i/>
                  </w:rPr>
                  <w:t>Ha-</w:t>
                </w:r>
                <w:proofErr w:type="spellStart"/>
                <w:r w:rsidRPr="00FC19BB">
                  <w:rPr>
                    <w:i/>
                  </w:rPr>
                  <w:t>meorer</w:t>
                </w:r>
                <w:proofErr w:type="spellEnd"/>
                <w:r>
                  <w:t xml:space="preserve"> (The Awakener), which did not present itself as an avant-garde or experimental journal, but nonetheless published the work of some of the most prominent Hebrew modernists of the time, including Brenner himself.  Brenner also published translations of (and sometimes translated himself) works of major European modernists, including Oscar Wilde and </w:t>
                </w:r>
                <w:proofErr w:type="spellStart"/>
                <w:r>
                  <w:t>Henrik</w:t>
                </w:r>
                <w:proofErr w:type="spellEnd"/>
                <w:r>
                  <w:t xml:space="preserve"> Ibsen.  In this period, Brenner published his first novel, </w:t>
                </w:r>
                <w:r w:rsidRPr="008B5122">
                  <w:rPr>
                    <w:i/>
                  </w:rPr>
                  <w:t>Ba-</w:t>
                </w:r>
                <w:proofErr w:type="spellStart"/>
                <w:r w:rsidRPr="008B5122">
                  <w:rPr>
                    <w:i/>
                  </w:rPr>
                  <w:t>horef</w:t>
                </w:r>
                <w:proofErr w:type="spellEnd"/>
                <w:r>
                  <w:t xml:space="preserve"> (In Winter), a semi-autobiographical tale of an ex-yeshiva student’s psychic and sexual maturation in the modern, secular world.  The focus on sexuality and the inner life of the protagonist in </w:t>
                </w:r>
                <w:r w:rsidRPr="00BF78E1">
                  <w:rPr>
                    <w:i/>
                  </w:rPr>
                  <w:t>Ba-</w:t>
                </w:r>
                <w:proofErr w:type="spellStart"/>
                <w:r w:rsidRPr="00BF78E1">
                  <w:rPr>
                    <w:i/>
                  </w:rPr>
                  <w:t>horef</w:t>
                </w:r>
                <w:proofErr w:type="spellEnd"/>
                <w:r>
                  <w:t xml:space="preserve"> would come to be a characteristic element of Brenner’s modernism.  His second short novel, </w:t>
                </w:r>
                <w:proofErr w:type="spellStart"/>
                <w:r w:rsidRPr="00BF78E1">
                  <w:rPr>
                    <w:i/>
                  </w:rPr>
                  <w:t>Misaviv</w:t>
                </w:r>
                <w:proofErr w:type="spellEnd"/>
                <w:r w:rsidRPr="00BF78E1">
                  <w:rPr>
                    <w:i/>
                  </w:rPr>
                  <w:t xml:space="preserve"> </w:t>
                </w:r>
                <w:proofErr w:type="spellStart"/>
                <w:r w:rsidRPr="00BF78E1">
                  <w:rPr>
                    <w:i/>
                  </w:rPr>
                  <w:t>lanekuda</w:t>
                </w:r>
                <w:proofErr w:type="spellEnd"/>
                <w:r>
                  <w:t xml:space="preserve"> (Around the Point), continues this focus on the interior life of the protagonist, as well as introducing urban themes and a focus on the city. </w:t>
                </w:r>
              </w:p>
              <w:p w:rsidR="00C20B67" w:rsidRDefault="00C20B67" w:rsidP="00C20B67"/>
              <w:p w:rsidR="00C20B67" w:rsidRDefault="00C20B67" w:rsidP="00C20B67">
                <w:r>
                  <w:t xml:space="preserve">As a young man, Brenner had been drawn to Zionism, and in 1909, he immigrated to Ottoman Palestine, in pursuit of the Zionist goal of settling and working the land.  Shortly after his immigration, Brenner published his long novel </w:t>
                </w:r>
                <w:proofErr w:type="spellStart"/>
                <w:r w:rsidRPr="003E7DA6">
                  <w:rPr>
                    <w:i/>
                  </w:rPr>
                  <w:t>Mikan</w:t>
                </w:r>
                <w:proofErr w:type="spellEnd"/>
                <w:r w:rsidRPr="003E7DA6">
                  <w:rPr>
                    <w:i/>
                  </w:rPr>
                  <w:t xml:space="preserve"> </w:t>
                </w:r>
                <w:proofErr w:type="spellStart"/>
                <w:r w:rsidRPr="003E7DA6">
                  <w:rPr>
                    <w:i/>
                  </w:rPr>
                  <w:t>umikan</w:t>
                </w:r>
                <w:proofErr w:type="spellEnd"/>
                <w:r>
                  <w:t xml:space="preserve"> (From Here and From There), which relies on modernist techniques of fragmentation.  The novel purports to be a found text comprised of a variety of generic elements, including documents, letters, and articles, and the text </w:t>
                </w:r>
                <w:proofErr w:type="gramStart"/>
                <w:r>
                  <w:t>is</w:t>
                </w:r>
                <w:proofErr w:type="gramEnd"/>
                <w:r>
                  <w:t xml:space="preserve"> chronologically and syntactically disjointed.   In response to criticism of this novel, Brenner published an article titled “Ha-genre ha-</w:t>
                </w:r>
                <w:proofErr w:type="spellStart"/>
                <w:r>
                  <w:t>eretz</w:t>
                </w:r>
                <w:proofErr w:type="spellEnd"/>
                <w:r>
                  <w:t>-</w:t>
                </w:r>
                <w:proofErr w:type="spellStart"/>
                <w:r>
                  <w:t>yisraeli</w:t>
                </w:r>
                <w:proofErr w:type="spellEnd"/>
                <w:r>
                  <w:t xml:space="preserve"> </w:t>
                </w:r>
                <w:proofErr w:type="spellStart"/>
                <w:r>
                  <w:t>ve-avizarehu</w:t>
                </w:r>
                <w:proofErr w:type="spellEnd"/>
                <w:r>
                  <w:t xml:space="preserve">” (The </w:t>
                </w:r>
                <w:proofErr w:type="spellStart"/>
                <w:r>
                  <w:t>Eretz-Yisraeli</w:t>
                </w:r>
                <w:proofErr w:type="spellEnd"/>
                <w:r>
                  <w:t xml:space="preserve"> Genre and its Accompaniments), in which he argued against the stifling national concerns imposed on Hebrew literature, and suggested that the very instability of conditions in the </w:t>
                </w:r>
                <w:proofErr w:type="spellStart"/>
                <w:r w:rsidRPr="004909CF">
                  <w:rPr>
                    <w:i/>
                  </w:rPr>
                  <w:t>yishuv</w:t>
                </w:r>
                <w:proofErr w:type="spellEnd"/>
                <w:r>
                  <w:t xml:space="preserve">, the settlement of Jews in Palestine, necessitated a multi-faceted, fragmented approach based on the subjective experiences of the protagonist or narrator.  This essay aligned </w:t>
                </w:r>
                <w:proofErr w:type="gramStart"/>
                <w:r>
                  <w:t>his own</w:t>
                </w:r>
                <w:proofErr w:type="gramEnd"/>
                <w:r>
                  <w:t xml:space="preserve"> literary philosophy with contemporary modernism.</w:t>
                </w:r>
              </w:p>
              <w:p w:rsidR="00C20B67" w:rsidRDefault="00C20B67" w:rsidP="00C20B67"/>
              <w:p w:rsidR="00C20B67" w:rsidRDefault="00C20B67" w:rsidP="00C20B67">
                <w:r>
                  <w:t xml:space="preserve">Nonetheless, Brenner’s work as well as his philosophy of Hebrew literature retained pre-modernist elements of romanticism and social realism.  Part of his argument against the current trend in modern Hebrew literature was that it should better reflect the lived realities of life in Palestine rather than ideologically pure Zionist utopian fantasies of that life.  Early in his career he explicitly rejected the decadent trend in modern literature and, in a famous letter to his friend, the writer Uri Nisan </w:t>
                </w:r>
                <w:proofErr w:type="spellStart"/>
                <w:r>
                  <w:t>Gnessin</w:t>
                </w:r>
                <w:proofErr w:type="spellEnd"/>
                <w:r>
                  <w:t xml:space="preserve">, the notion of art for art’s sake.  Yet much of his work exhibits the kind of interiority, narrative fragmentation, and crises of sexuality, identity, and place that characterize modernist literature.  Brenner’s final work, the novel </w:t>
                </w:r>
                <w:proofErr w:type="spellStart"/>
                <w:r w:rsidRPr="00815B5B">
                  <w:rPr>
                    <w:i/>
                  </w:rPr>
                  <w:t>S</w:t>
                </w:r>
                <w:r>
                  <w:rPr>
                    <w:i/>
                  </w:rPr>
                  <w:t>he</w:t>
                </w:r>
                <w:r w:rsidRPr="00815B5B">
                  <w:rPr>
                    <w:i/>
                  </w:rPr>
                  <w:t>khol</w:t>
                </w:r>
                <w:proofErr w:type="spellEnd"/>
                <w:r w:rsidRPr="00815B5B">
                  <w:rPr>
                    <w:i/>
                  </w:rPr>
                  <w:t xml:space="preserve"> </w:t>
                </w:r>
                <w:proofErr w:type="spellStart"/>
                <w:r w:rsidRPr="00815B5B">
                  <w:rPr>
                    <w:i/>
                  </w:rPr>
                  <w:t>vekishalon</w:t>
                </w:r>
                <w:proofErr w:type="spellEnd"/>
                <w:r>
                  <w:t xml:space="preserve"> (Breakdown and Bereavement), written around 1914 but not published until 1920, describes the lives of young Jewish pioneers in Palestine through the eyes of its narrator, </w:t>
                </w:r>
                <w:proofErr w:type="spellStart"/>
                <w:r>
                  <w:t>Yehezkel</w:t>
                </w:r>
                <w:proofErr w:type="spellEnd"/>
                <w:r>
                  <w:t xml:space="preserve"> </w:t>
                </w:r>
                <w:proofErr w:type="spellStart"/>
                <w:r>
                  <w:t>Hefetz</w:t>
                </w:r>
                <w:proofErr w:type="spellEnd"/>
                <w:r>
                  <w:t>.  In this novel he attempts to realistically portray the difficulties and disappointments of the life of the Zionist pioneer in Ottoman Palestine, countering the utopian myths of the “genre” literature he advocated against.  Yet Brenner again employed the device of the found manuscript, explaining the disjointed, incomplete character of the narrative, and reflecting the fragmented consciousness of his mentally ill protagonist.  Brenner himself became a literal victim of his own search for home when he was killed in the Arab riots of May 1921</w:t>
                </w:r>
                <w:r w:rsidRPr="00F870F7">
                  <w:t>.</w:t>
                </w:r>
              </w:p>
              <w:p w:rsidR="00C20B67" w:rsidRDefault="00C20B67" w:rsidP="00C20B67"/>
              <w:p w:rsidR="00C20B67" w:rsidRDefault="00C20B67" w:rsidP="00C20B67">
                <w:pPr>
                  <w:pStyle w:val="Authornote"/>
                </w:pPr>
                <w:r>
                  <w:t>List of works</w:t>
                </w:r>
              </w:p>
              <w:p w:rsidR="00C20B67" w:rsidRPr="00815B5B" w:rsidRDefault="00C20B67" w:rsidP="00C20B67">
                <w:pPr>
                  <w:pStyle w:val="Authornote"/>
                </w:pPr>
                <w:r>
                  <w:t>Brenner, Y.H.  (1903) “</w:t>
                </w:r>
                <w:r w:rsidRPr="00913F32">
                  <w:t>Ba-</w:t>
                </w:r>
                <w:proofErr w:type="spellStart"/>
                <w:r w:rsidRPr="00913F32">
                  <w:t>horef</w:t>
                </w:r>
                <w:proofErr w:type="spellEnd"/>
                <w:r>
                  <w:t xml:space="preserve">,” </w:t>
                </w:r>
                <w:proofErr w:type="spellStart"/>
                <w:r>
                  <w:rPr>
                    <w:i/>
                  </w:rPr>
                  <w:t>Hashiloach</w:t>
                </w:r>
                <w:proofErr w:type="spellEnd"/>
                <w:r>
                  <w:rPr>
                    <w:i/>
                  </w:rPr>
                  <w:t xml:space="preserve"> </w:t>
                </w:r>
                <w:r>
                  <w:t>11-12.</w:t>
                </w:r>
              </w:p>
              <w:p w:rsidR="00C20B67" w:rsidRDefault="00C20B67" w:rsidP="00C20B67">
                <w:pPr>
                  <w:pStyle w:val="Authornote"/>
                </w:pPr>
                <w:r>
                  <w:t>-. (1904) “</w:t>
                </w:r>
                <w:proofErr w:type="spellStart"/>
                <w:r>
                  <w:t>Mesaviv</w:t>
                </w:r>
                <w:proofErr w:type="spellEnd"/>
                <w:r>
                  <w:t xml:space="preserve"> </w:t>
                </w:r>
                <w:proofErr w:type="spellStart"/>
                <w:r>
                  <w:t>lenekudah</w:t>
                </w:r>
                <w:proofErr w:type="spellEnd"/>
                <w:r>
                  <w:t>,”</w:t>
                </w:r>
                <w:r w:rsidRPr="00815B5B">
                  <w:rPr>
                    <w:i/>
                  </w:rPr>
                  <w:t xml:space="preserve"> </w:t>
                </w:r>
                <w:proofErr w:type="spellStart"/>
                <w:r w:rsidRPr="00913F32">
                  <w:rPr>
                    <w:i/>
                  </w:rPr>
                  <w:t>Hashiloach</w:t>
                </w:r>
                <w:proofErr w:type="spellEnd"/>
                <w:r>
                  <w:t xml:space="preserve"> 14.</w:t>
                </w:r>
              </w:p>
              <w:p w:rsidR="00C20B67" w:rsidRDefault="00C20B67" w:rsidP="00C20B67">
                <w:pPr>
                  <w:pStyle w:val="Authornote"/>
                </w:pPr>
                <w:r>
                  <w:t xml:space="preserve">-. (1911) </w:t>
                </w:r>
                <w:proofErr w:type="spellStart"/>
                <w:r w:rsidRPr="00913F32">
                  <w:rPr>
                    <w:i/>
                  </w:rPr>
                  <w:t>Mikan</w:t>
                </w:r>
                <w:proofErr w:type="spellEnd"/>
                <w:r w:rsidRPr="00913F32">
                  <w:rPr>
                    <w:i/>
                  </w:rPr>
                  <w:t xml:space="preserve"> </w:t>
                </w:r>
                <w:proofErr w:type="spellStart"/>
                <w:r w:rsidRPr="00913F32">
                  <w:rPr>
                    <w:i/>
                  </w:rPr>
                  <w:t>umikan</w:t>
                </w:r>
                <w:proofErr w:type="spellEnd"/>
                <w:r>
                  <w:t xml:space="preserve">, Warsaw: </w:t>
                </w:r>
                <w:proofErr w:type="spellStart"/>
                <w:r>
                  <w:t>Sifrut</w:t>
                </w:r>
                <w:proofErr w:type="spellEnd"/>
                <w:r>
                  <w:t>.</w:t>
                </w:r>
              </w:p>
              <w:p w:rsidR="00C20B67" w:rsidRDefault="00C20B67" w:rsidP="00C20B67">
                <w:pPr>
                  <w:pStyle w:val="Authornote"/>
                </w:pPr>
                <w:r>
                  <w:t xml:space="preserve">-. (1920) </w:t>
                </w:r>
                <w:proofErr w:type="spellStart"/>
                <w:r w:rsidRPr="00913F32">
                  <w:rPr>
                    <w:i/>
                  </w:rPr>
                  <w:t>Shekhol</w:t>
                </w:r>
                <w:proofErr w:type="spellEnd"/>
                <w:r w:rsidRPr="00913F32">
                  <w:rPr>
                    <w:i/>
                  </w:rPr>
                  <w:t xml:space="preserve"> </w:t>
                </w:r>
                <w:proofErr w:type="spellStart"/>
                <w:r w:rsidRPr="00913F32">
                  <w:rPr>
                    <w:i/>
                  </w:rPr>
                  <w:t>vekishalon</w:t>
                </w:r>
                <w:proofErr w:type="spellEnd"/>
                <w:r>
                  <w:t xml:space="preserve">, New York: </w:t>
                </w:r>
                <w:proofErr w:type="spellStart"/>
                <w:r>
                  <w:t>Shtiebel</w:t>
                </w:r>
                <w:proofErr w:type="spellEnd"/>
                <w:r>
                  <w:t>.</w:t>
                </w:r>
              </w:p>
              <w:p w:rsidR="003F0D73" w:rsidRDefault="00C20B67" w:rsidP="00C20B67">
                <w:pPr>
                  <w:pStyle w:val="Authornote"/>
                </w:pPr>
                <w:r>
                  <w:t>-.</w:t>
                </w:r>
                <w:r w:rsidRPr="00BA2BCC">
                  <w:t xml:space="preserve"> </w:t>
                </w:r>
                <w:r>
                  <w:t>(1977-85)</w:t>
                </w:r>
                <w:r w:rsidRPr="00E80071">
                  <w:t xml:space="preserve"> </w:t>
                </w:r>
                <w:proofErr w:type="spellStart"/>
                <w:r w:rsidRPr="00E80071">
                  <w:rPr>
                    <w:i/>
                  </w:rPr>
                  <w:t>Ketavim</w:t>
                </w:r>
                <w:proofErr w:type="spellEnd"/>
                <w:r>
                  <w:t xml:space="preserve">, vols. 1-4, ed. Yitzhak </w:t>
                </w:r>
                <w:proofErr w:type="spellStart"/>
                <w:r>
                  <w:t>Kafkafi</w:t>
                </w:r>
                <w:proofErr w:type="spellEnd"/>
                <w:r>
                  <w:t xml:space="preserve">, Tel Aviv: </w:t>
                </w:r>
                <w:proofErr w:type="spellStart"/>
                <w:r>
                  <w:t>Sifryat</w:t>
                </w:r>
                <w:proofErr w:type="spellEnd"/>
                <w:r>
                  <w:t xml:space="preserve"> </w:t>
                </w:r>
                <w:proofErr w:type="spellStart"/>
                <w:r>
                  <w:t>Poalim</w:t>
                </w:r>
                <w:proofErr w:type="spellEnd"/>
                <w:r>
                  <w:t>.</w:t>
                </w:r>
              </w:p>
            </w:tc>
          </w:sdtContent>
        </w:sdt>
      </w:tr>
      <w:tr w:rsidR="003235A7" w:rsidTr="003235A7">
        <w:tc>
          <w:tcPr>
            <w:tcW w:w="9016" w:type="dxa"/>
          </w:tcPr>
          <w:p w:rsidR="00C20B67" w:rsidRDefault="003235A7" w:rsidP="008A5B87">
            <w:r w:rsidRPr="0015114C">
              <w:rPr>
                <w:u w:val="single"/>
              </w:rPr>
              <w:lastRenderedPageBreak/>
              <w:t>Further reading</w:t>
            </w:r>
            <w:r>
              <w:t>:</w:t>
            </w:r>
          </w:p>
          <w:sdt>
            <w:sdtPr>
              <w:alias w:val="Further reading"/>
              <w:tag w:val="furtherReading"/>
              <w:id w:val="-1516217107"/>
              <w:placeholder>
                <w:docPart w:val="7BB051B30A91E64CB66981E4FFE8B0A2"/>
              </w:placeholder>
            </w:sdtPr>
            <w:sdtEndPr/>
            <w:sdtContent>
              <w:p w:rsidR="00C20B67" w:rsidRDefault="00C20B67" w:rsidP="00C20B67"/>
              <w:p w:rsidR="00C20B67" w:rsidRDefault="00C20B67" w:rsidP="00C20B67">
                <w:sdt>
                  <w:sdtPr>
                    <w:id w:val="-1137870092"/>
                    <w:citation/>
                  </w:sdtPr>
                  <w:sdtContent>
                    <w:r>
                      <w:fldChar w:fldCharType="begin"/>
                    </w:r>
                    <w:r>
                      <w:rPr>
                        <w:lang w:val="en-US"/>
                      </w:rPr>
                      <w:instrText xml:space="preserve"> CITATION Bak72 \l 1033 </w:instrText>
                    </w:r>
                    <w:r>
                      <w:fldChar w:fldCharType="separate"/>
                    </w:r>
                    <w:r>
                      <w:rPr>
                        <w:noProof/>
                        <w:lang w:val="en-US"/>
                      </w:rPr>
                      <w:t>(Bakon)</w:t>
                    </w:r>
                    <w:r>
                      <w:fldChar w:fldCharType="end"/>
                    </w:r>
                  </w:sdtContent>
                </w:sdt>
              </w:p>
              <w:p w:rsidR="00C20B67" w:rsidRDefault="00C20B67" w:rsidP="00C20B67"/>
              <w:p w:rsidR="00C20B67" w:rsidRDefault="00C20B67" w:rsidP="00C20B67">
                <w:sdt>
                  <w:sdtPr>
                    <w:id w:val="-2108802167"/>
                    <w:citation/>
                  </w:sdtPr>
                  <w:sdtContent>
                    <w:r>
                      <w:fldChar w:fldCharType="begin"/>
                    </w:r>
                    <w:r>
                      <w:rPr>
                        <w:lang w:val="en-US"/>
                      </w:rPr>
                      <w:instrText xml:space="preserve"> CITATION Bar971 \l 1033 </w:instrText>
                    </w:r>
                    <w:r>
                      <w:fldChar w:fldCharType="separate"/>
                    </w:r>
                    <w:r>
                      <w:rPr>
                        <w:noProof/>
                        <w:lang w:val="en-US"/>
                      </w:rPr>
                      <w:t>(Bar-Yosef)</w:t>
                    </w:r>
                    <w:r>
                      <w:fldChar w:fldCharType="end"/>
                    </w:r>
                  </w:sdtContent>
                </w:sdt>
              </w:p>
              <w:p w:rsidR="00C20B67" w:rsidRDefault="00C20B67" w:rsidP="00C20B67"/>
              <w:p w:rsidR="00C20B67" w:rsidRDefault="00C20B67" w:rsidP="00C20B67">
                <w:sdt>
                  <w:sdtPr>
                    <w:id w:val="49656880"/>
                    <w:citation/>
                  </w:sdtPr>
                  <w:sdtContent>
                    <w:r>
                      <w:fldChar w:fldCharType="begin"/>
                    </w:r>
                    <w:r>
                      <w:rPr>
                        <w:lang w:val="en-US"/>
                      </w:rPr>
                      <w:instrText xml:space="preserve"> CITATION Bri90 \l 1033 </w:instrText>
                    </w:r>
                    <w:r>
                      <w:fldChar w:fldCharType="separate"/>
                    </w:r>
                    <w:r>
                      <w:rPr>
                        <w:noProof/>
                        <w:lang w:val="en-US"/>
                      </w:rPr>
                      <w:t>(Brinker)</w:t>
                    </w:r>
                    <w:r>
                      <w:fldChar w:fldCharType="end"/>
                    </w:r>
                  </w:sdtContent>
                </w:sdt>
              </w:p>
              <w:p w:rsidR="00C20B67" w:rsidRDefault="00C20B67" w:rsidP="00C20B67"/>
              <w:p w:rsidR="00C20B67" w:rsidRDefault="00C20B67" w:rsidP="00C20B67">
                <w:sdt>
                  <w:sdtPr>
                    <w:id w:val="400490295"/>
                    <w:citation/>
                  </w:sdtPr>
                  <w:sdtContent>
                    <w:r>
                      <w:fldChar w:fldCharType="begin"/>
                    </w:r>
                    <w:r>
                      <w:rPr>
                        <w:lang w:val="en-US"/>
                      </w:rPr>
                      <w:instrText xml:space="preserve"> CITATION Has03 \l 1033 </w:instrText>
                    </w:r>
                    <w:r>
                      <w:fldChar w:fldCharType="separate"/>
                    </w:r>
                    <w:r>
                      <w:rPr>
                        <w:noProof/>
                        <w:lang w:val="en-US"/>
                      </w:rPr>
                      <w:t>(Hasak-Lowy)</w:t>
                    </w:r>
                    <w:r>
                      <w:fldChar w:fldCharType="end"/>
                    </w:r>
                  </w:sdtContent>
                </w:sdt>
              </w:p>
              <w:p w:rsidR="00C20B67" w:rsidRDefault="00C20B67" w:rsidP="00C20B67"/>
              <w:p w:rsidR="003235A7" w:rsidRDefault="00C20B67" w:rsidP="00C20B67">
                <w:sdt>
                  <w:sdtPr>
                    <w:id w:val="796719951"/>
                    <w:citation/>
                  </w:sdtPr>
                  <w:sdtContent>
                    <w:r>
                      <w:fldChar w:fldCharType="begin"/>
                    </w:r>
                    <w:r>
                      <w:rPr>
                        <w:lang w:val="en-US"/>
                      </w:rPr>
                      <w:instrText xml:space="preserve"> CITATION Pin11 \l 1033 </w:instrText>
                    </w:r>
                    <w:r>
                      <w:fldChar w:fldCharType="separate"/>
                    </w:r>
                    <w:r>
                      <w:rPr>
                        <w:noProof/>
                        <w:lang w:val="en-US"/>
                      </w:rPr>
                      <w:t>(Pinsker)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B67" w:rsidRDefault="00C20B67" w:rsidP="007A0D55">
      <w:pPr>
        <w:spacing w:after="0" w:line="240" w:lineRule="auto"/>
      </w:pPr>
      <w:r>
        <w:separator/>
      </w:r>
    </w:p>
  </w:endnote>
  <w:endnote w:type="continuationSeparator" w:id="0">
    <w:p w:rsidR="00C20B67" w:rsidRDefault="00C20B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B67" w:rsidRDefault="00C20B67" w:rsidP="007A0D55">
      <w:pPr>
        <w:spacing w:after="0" w:line="240" w:lineRule="auto"/>
      </w:pPr>
      <w:r>
        <w:separator/>
      </w:r>
    </w:p>
  </w:footnote>
  <w:footnote w:type="continuationSeparator" w:id="0">
    <w:p w:rsidR="00C20B67" w:rsidRDefault="00C20B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0B6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0B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20B6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0B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20B6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FAA16D514205459E0763B7C8143527"/>
        <w:category>
          <w:name w:val="General"/>
          <w:gallery w:val="placeholder"/>
        </w:category>
        <w:types>
          <w:type w:val="bbPlcHdr"/>
        </w:types>
        <w:behaviors>
          <w:behavior w:val="content"/>
        </w:behaviors>
        <w:guid w:val="{116CF964-05CF-1F46-80C8-A9489CECC259}"/>
      </w:docPartPr>
      <w:docPartBody>
        <w:p w:rsidR="00000000" w:rsidRDefault="004E117A">
          <w:pPr>
            <w:pStyle w:val="36FAA16D514205459E0763B7C8143527"/>
          </w:pPr>
          <w:r w:rsidRPr="00CC586D">
            <w:rPr>
              <w:rStyle w:val="PlaceholderText"/>
              <w:b/>
              <w:color w:val="FFFFFF" w:themeColor="background1"/>
            </w:rPr>
            <w:t>[Salutation]</w:t>
          </w:r>
        </w:p>
      </w:docPartBody>
    </w:docPart>
    <w:docPart>
      <w:docPartPr>
        <w:name w:val="5C6C5BBC21043D4C90908DB863E865FD"/>
        <w:category>
          <w:name w:val="General"/>
          <w:gallery w:val="placeholder"/>
        </w:category>
        <w:types>
          <w:type w:val="bbPlcHdr"/>
        </w:types>
        <w:behaviors>
          <w:behavior w:val="content"/>
        </w:behaviors>
        <w:guid w:val="{C4BDED3B-8FD6-674E-8B15-B45C9F077594}"/>
      </w:docPartPr>
      <w:docPartBody>
        <w:p w:rsidR="00000000" w:rsidRDefault="004E117A">
          <w:pPr>
            <w:pStyle w:val="5C6C5BBC21043D4C90908DB863E865FD"/>
          </w:pPr>
          <w:r>
            <w:rPr>
              <w:rStyle w:val="PlaceholderText"/>
            </w:rPr>
            <w:t>[First name]</w:t>
          </w:r>
        </w:p>
      </w:docPartBody>
    </w:docPart>
    <w:docPart>
      <w:docPartPr>
        <w:name w:val="96CD3EF767BBB646B42FB4B0DFF307E7"/>
        <w:category>
          <w:name w:val="General"/>
          <w:gallery w:val="placeholder"/>
        </w:category>
        <w:types>
          <w:type w:val="bbPlcHdr"/>
        </w:types>
        <w:behaviors>
          <w:behavior w:val="content"/>
        </w:behaviors>
        <w:guid w:val="{E001B161-AB41-1844-83A0-FB7156E1028E}"/>
      </w:docPartPr>
      <w:docPartBody>
        <w:p w:rsidR="00000000" w:rsidRDefault="004E117A">
          <w:pPr>
            <w:pStyle w:val="96CD3EF767BBB646B42FB4B0DFF307E7"/>
          </w:pPr>
          <w:r>
            <w:rPr>
              <w:rStyle w:val="PlaceholderText"/>
            </w:rPr>
            <w:t>[Middle name]</w:t>
          </w:r>
        </w:p>
      </w:docPartBody>
    </w:docPart>
    <w:docPart>
      <w:docPartPr>
        <w:name w:val="BAD765E23F092949B5917E6F3663DAAD"/>
        <w:category>
          <w:name w:val="General"/>
          <w:gallery w:val="placeholder"/>
        </w:category>
        <w:types>
          <w:type w:val="bbPlcHdr"/>
        </w:types>
        <w:behaviors>
          <w:behavior w:val="content"/>
        </w:behaviors>
        <w:guid w:val="{8696BDAC-9C10-504B-8FC1-5ABFD8757896}"/>
      </w:docPartPr>
      <w:docPartBody>
        <w:p w:rsidR="00000000" w:rsidRDefault="004E117A">
          <w:pPr>
            <w:pStyle w:val="BAD765E23F092949B5917E6F3663DAAD"/>
          </w:pPr>
          <w:r>
            <w:rPr>
              <w:rStyle w:val="PlaceholderText"/>
            </w:rPr>
            <w:t>[Last name]</w:t>
          </w:r>
        </w:p>
      </w:docPartBody>
    </w:docPart>
    <w:docPart>
      <w:docPartPr>
        <w:name w:val="CBF58D5E68354F41B06E8232D9A4C065"/>
        <w:category>
          <w:name w:val="General"/>
          <w:gallery w:val="placeholder"/>
        </w:category>
        <w:types>
          <w:type w:val="bbPlcHdr"/>
        </w:types>
        <w:behaviors>
          <w:behavior w:val="content"/>
        </w:behaviors>
        <w:guid w:val="{C4285F50-3425-2D4B-8D57-84FB3640DDB4}"/>
      </w:docPartPr>
      <w:docPartBody>
        <w:p w:rsidR="00000000" w:rsidRDefault="004E117A">
          <w:pPr>
            <w:pStyle w:val="CBF58D5E68354F41B06E8232D9A4C065"/>
          </w:pPr>
          <w:r>
            <w:rPr>
              <w:rStyle w:val="PlaceholderText"/>
            </w:rPr>
            <w:t>[Enter your biography]</w:t>
          </w:r>
        </w:p>
      </w:docPartBody>
    </w:docPart>
    <w:docPart>
      <w:docPartPr>
        <w:name w:val="77A678379BC7BE43A32E5C0E97F1E434"/>
        <w:category>
          <w:name w:val="General"/>
          <w:gallery w:val="placeholder"/>
        </w:category>
        <w:types>
          <w:type w:val="bbPlcHdr"/>
        </w:types>
        <w:behaviors>
          <w:behavior w:val="content"/>
        </w:behaviors>
        <w:guid w:val="{2B9DB263-982F-F84B-863E-533D0A33B8C8}"/>
      </w:docPartPr>
      <w:docPartBody>
        <w:p w:rsidR="00000000" w:rsidRDefault="004E117A">
          <w:pPr>
            <w:pStyle w:val="77A678379BC7BE43A32E5C0E97F1E434"/>
          </w:pPr>
          <w:r>
            <w:rPr>
              <w:rStyle w:val="PlaceholderText"/>
            </w:rPr>
            <w:t>[Enter the institution with which you are affiliated]</w:t>
          </w:r>
        </w:p>
      </w:docPartBody>
    </w:docPart>
    <w:docPart>
      <w:docPartPr>
        <w:name w:val="E692E1B31E825043A1F4F73E698CEDBB"/>
        <w:category>
          <w:name w:val="General"/>
          <w:gallery w:val="placeholder"/>
        </w:category>
        <w:types>
          <w:type w:val="bbPlcHdr"/>
        </w:types>
        <w:behaviors>
          <w:behavior w:val="content"/>
        </w:behaviors>
        <w:guid w:val="{93DD8F1E-A057-804A-8452-C4692B2B01C1}"/>
      </w:docPartPr>
      <w:docPartBody>
        <w:p w:rsidR="00000000" w:rsidRDefault="004E117A">
          <w:pPr>
            <w:pStyle w:val="E692E1B31E825043A1F4F73E698CEDBB"/>
          </w:pPr>
          <w:r w:rsidRPr="00EF74F7">
            <w:rPr>
              <w:b/>
              <w:color w:val="808080" w:themeColor="background1" w:themeShade="80"/>
            </w:rPr>
            <w:t>[Enter the headword for your article]</w:t>
          </w:r>
        </w:p>
      </w:docPartBody>
    </w:docPart>
    <w:docPart>
      <w:docPartPr>
        <w:name w:val="4810797C697A204086F36867ADA627AF"/>
        <w:category>
          <w:name w:val="General"/>
          <w:gallery w:val="placeholder"/>
        </w:category>
        <w:types>
          <w:type w:val="bbPlcHdr"/>
        </w:types>
        <w:behaviors>
          <w:behavior w:val="content"/>
        </w:behaviors>
        <w:guid w:val="{4BF68C31-0EAC-AB46-B89D-61FABAAEA5F7}"/>
      </w:docPartPr>
      <w:docPartBody>
        <w:p w:rsidR="00000000" w:rsidRDefault="004E117A">
          <w:pPr>
            <w:pStyle w:val="4810797C697A204086F36867ADA627A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6E8AF6AC13C54B8F12198682E50953"/>
        <w:category>
          <w:name w:val="General"/>
          <w:gallery w:val="placeholder"/>
        </w:category>
        <w:types>
          <w:type w:val="bbPlcHdr"/>
        </w:types>
        <w:behaviors>
          <w:behavior w:val="content"/>
        </w:behaviors>
        <w:guid w:val="{5D687DC8-1D52-4A49-9F21-D9AE954497A9}"/>
      </w:docPartPr>
      <w:docPartBody>
        <w:p w:rsidR="00000000" w:rsidRDefault="004E117A">
          <w:pPr>
            <w:pStyle w:val="BD6E8AF6AC13C54B8F12198682E509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B8FB1FD18D4D34D9C851CF1A505BCE3"/>
        <w:category>
          <w:name w:val="General"/>
          <w:gallery w:val="placeholder"/>
        </w:category>
        <w:types>
          <w:type w:val="bbPlcHdr"/>
        </w:types>
        <w:behaviors>
          <w:behavior w:val="content"/>
        </w:behaviors>
        <w:guid w:val="{F42B8440-5921-A04D-BD3D-54C242BEBBDB}"/>
      </w:docPartPr>
      <w:docPartBody>
        <w:p w:rsidR="00000000" w:rsidRDefault="004E117A">
          <w:pPr>
            <w:pStyle w:val="6B8FB1FD18D4D34D9C851CF1A505BC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B051B30A91E64CB66981E4FFE8B0A2"/>
        <w:category>
          <w:name w:val="General"/>
          <w:gallery w:val="placeholder"/>
        </w:category>
        <w:types>
          <w:type w:val="bbPlcHdr"/>
        </w:types>
        <w:behaviors>
          <w:behavior w:val="content"/>
        </w:behaviors>
        <w:guid w:val="{7E2D9684-52A9-CC41-BC03-CD348BC374D8}"/>
      </w:docPartPr>
      <w:docPartBody>
        <w:p w:rsidR="00000000" w:rsidRDefault="004E117A">
          <w:pPr>
            <w:pStyle w:val="7BB051B30A91E64CB66981E4FFE8B0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FAA16D514205459E0763B7C8143527">
    <w:name w:val="36FAA16D514205459E0763B7C8143527"/>
  </w:style>
  <w:style w:type="paragraph" w:customStyle="1" w:styleId="5C6C5BBC21043D4C90908DB863E865FD">
    <w:name w:val="5C6C5BBC21043D4C90908DB863E865FD"/>
  </w:style>
  <w:style w:type="paragraph" w:customStyle="1" w:styleId="96CD3EF767BBB646B42FB4B0DFF307E7">
    <w:name w:val="96CD3EF767BBB646B42FB4B0DFF307E7"/>
  </w:style>
  <w:style w:type="paragraph" w:customStyle="1" w:styleId="BAD765E23F092949B5917E6F3663DAAD">
    <w:name w:val="BAD765E23F092949B5917E6F3663DAAD"/>
  </w:style>
  <w:style w:type="paragraph" w:customStyle="1" w:styleId="CBF58D5E68354F41B06E8232D9A4C065">
    <w:name w:val="CBF58D5E68354F41B06E8232D9A4C065"/>
  </w:style>
  <w:style w:type="paragraph" w:customStyle="1" w:styleId="77A678379BC7BE43A32E5C0E97F1E434">
    <w:name w:val="77A678379BC7BE43A32E5C0E97F1E434"/>
  </w:style>
  <w:style w:type="paragraph" w:customStyle="1" w:styleId="E692E1B31E825043A1F4F73E698CEDBB">
    <w:name w:val="E692E1B31E825043A1F4F73E698CEDBB"/>
  </w:style>
  <w:style w:type="paragraph" w:customStyle="1" w:styleId="4810797C697A204086F36867ADA627AF">
    <w:name w:val="4810797C697A204086F36867ADA627AF"/>
  </w:style>
  <w:style w:type="paragraph" w:customStyle="1" w:styleId="BD6E8AF6AC13C54B8F12198682E50953">
    <w:name w:val="BD6E8AF6AC13C54B8F12198682E50953"/>
  </w:style>
  <w:style w:type="paragraph" w:customStyle="1" w:styleId="6B8FB1FD18D4D34D9C851CF1A505BCE3">
    <w:name w:val="6B8FB1FD18D4D34D9C851CF1A505BCE3"/>
  </w:style>
  <w:style w:type="paragraph" w:customStyle="1" w:styleId="7BB051B30A91E64CB66981E4FFE8B0A2">
    <w:name w:val="7BB051B30A91E64CB66981E4FFE8B0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FAA16D514205459E0763B7C8143527">
    <w:name w:val="36FAA16D514205459E0763B7C8143527"/>
  </w:style>
  <w:style w:type="paragraph" w:customStyle="1" w:styleId="5C6C5BBC21043D4C90908DB863E865FD">
    <w:name w:val="5C6C5BBC21043D4C90908DB863E865FD"/>
  </w:style>
  <w:style w:type="paragraph" w:customStyle="1" w:styleId="96CD3EF767BBB646B42FB4B0DFF307E7">
    <w:name w:val="96CD3EF767BBB646B42FB4B0DFF307E7"/>
  </w:style>
  <w:style w:type="paragraph" w:customStyle="1" w:styleId="BAD765E23F092949B5917E6F3663DAAD">
    <w:name w:val="BAD765E23F092949B5917E6F3663DAAD"/>
  </w:style>
  <w:style w:type="paragraph" w:customStyle="1" w:styleId="CBF58D5E68354F41B06E8232D9A4C065">
    <w:name w:val="CBF58D5E68354F41B06E8232D9A4C065"/>
  </w:style>
  <w:style w:type="paragraph" w:customStyle="1" w:styleId="77A678379BC7BE43A32E5C0E97F1E434">
    <w:name w:val="77A678379BC7BE43A32E5C0E97F1E434"/>
  </w:style>
  <w:style w:type="paragraph" w:customStyle="1" w:styleId="E692E1B31E825043A1F4F73E698CEDBB">
    <w:name w:val="E692E1B31E825043A1F4F73E698CEDBB"/>
  </w:style>
  <w:style w:type="paragraph" w:customStyle="1" w:styleId="4810797C697A204086F36867ADA627AF">
    <w:name w:val="4810797C697A204086F36867ADA627AF"/>
  </w:style>
  <w:style w:type="paragraph" w:customStyle="1" w:styleId="BD6E8AF6AC13C54B8F12198682E50953">
    <w:name w:val="BD6E8AF6AC13C54B8F12198682E50953"/>
  </w:style>
  <w:style w:type="paragraph" w:customStyle="1" w:styleId="6B8FB1FD18D4D34D9C851CF1A505BCE3">
    <w:name w:val="6B8FB1FD18D4D34D9C851CF1A505BCE3"/>
  </w:style>
  <w:style w:type="paragraph" w:customStyle="1" w:styleId="7BB051B30A91E64CB66981E4FFE8B0A2">
    <w:name w:val="7BB051B30A91E64CB66981E4FFE8B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Bak72</b:Tag>
    <b:SourceType>Book</b:SourceType>
    <b:Guid>{9EE74399-09F2-A44D-9E84-6D1A9ED8E4BB}</b:Guid>
    <b:Title>Y.H. Brenner: maamarim al yetzirato hasifrutit</b:Title>
    <b:City>Tel Aviv</b:City>
    <b:Publisher>Am Oved</b:Publisher>
    <b:Year>1972</b:Year>
    <b:Author>
      <b:Editor>
        <b:NameList>
          <b:Person>
            <b:Last>Bakon</b:Last>
            <b:First>Yitzhak</b:First>
          </b:Person>
        </b:NameList>
      </b:Editor>
    </b:Author>
    <b:RefOrder>1</b:RefOrder>
  </b:Source>
  <b:Source>
    <b:Tag>Bar971</b:Tag>
    <b:SourceType>Book</b:SourceType>
    <b:Guid>{6D26374A-3B60-2446-B2BF-372B73E0B6AB}</b:Guid>
    <b:Author>
      <b:Author>
        <b:NameList>
          <b:Person>
            <b:Last>Bar-Yosef</b:Last>
            <b:First>Hamutal</b:First>
          </b:Person>
        </b:NameList>
      </b:Author>
    </b:Author>
    <b:Title>Megaim shel dekadens: bialik, berdichevsky, brenner</b:Title>
    <b:City>Jerusalem</b:City>
    <b:Publisher>Mosad Bialik</b:Publisher>
    <b:Year>1997</b:Year>
    <b:RefOrder>2</b:RefOrder>
  </b:Source>
  <b:Source>
    <b:Tag>Pin11</b:Tag>
    <b:SourceType>Book</b:SourceType>
    <b:Guid>{F954DB6F-B776-D647-91F3-288944E4F76A}</b:Guid>
    <b:Author>
      <b:Author>
        <b:NameList>
          <b:Person>
            <b:Last>Pinsker</b:Last>
            <b:First>Shachar</b:First>
          </b:Person>
        </b:NameList>
      </b:Author>
    </b:Author>
    <b:Title>Literary Passports: The Making of Modernist Hebrew Fiction in Europe</b:Title>
    <b:City>Stanford</b:City>
    <b:Publisher>Stanford University Press</b:Publisher>
    <b:Year>2011</b:Year>
    <b:RefOrder>5</b:RefOrder>
  </b:Source>
  <b:Source>
    <b:Tag>Has03</b:Tag>
    <b:SourceType>JournalArticle</b:SourceType>
    <b:Guid>{7279BAEA-D85A-BB49-8A60-9BA19E97878D}</b:Guid>
    <b:Author>
      <b:Author>
        <b:NameList>
          <b:Person>
            <b:Last>Hasak-Lowy</b:Last>
            <b:First>Todd</b:First>
          </b:Person>
        </b:NameList>
      </b:Author>
    </b:Author>
    <b:Title>Between Realism and Modernism: Brenner’s Poetics of Fragmentation</b:Title>
    <b:Year>2003</b:Year>
    <b:Volume>44</b:Volume>
    <b:Pages>41-64</b:Pages>
    <b:JournalName>Hebrew Studies</b:JournalName>
    <b:RefOrder>4</b:RefOrder>
  </b:Source>
  <b:Source>
    <b:Tag>Bri90</b:Tag>
    <b:SourceType>Book</b:SourceType>
    <b:Guid>{283F40FB-823B-E247-BFA6-B0F91BFD1706}</b:Guid>
    <b:Title>Ad hasimtah hateveryanit: maamar al sipur vemakhshavah beyitzirat brenner</b:Title>
    <b:Publisher>Am Oved</b:Publisher>
    <b:City>Tel Aviv</b:City>
    <b:Year>1990</b:Year>
    <b:Author>
      <b:Author>
        <b:NameList>
          <b:Person>
            <b:Last>Brinker</b:Last>
            <b:First>Menachem</b:First>
          </b:Person>
        </b:NameList>
      </b:Author>
    </b:Author>
    <b:RefOrder>3</b:RefOrder>
  </b:Source>
</b:Sources>
</file>

<file path=customXml/itemProps1.xml><?xml version="1.0" encoding="utf-8"?>
<ds:datastoreItem xmlns:ds="http://schemas.openxmlformats.org/officeDocument/2006/customXml" ds:itemID="{BEE15E39-E2FC-CA4F-A477-48B23C47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1103</Words>
  <Characters>6289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2015-11-10T21:00:00Z</dcterms:created>
  <dcterms:modified xsi:type="dcterms:W3CDTF">2015-11-10T21:12:00Z</dcterms:modified>
</cp:coreProperties>
</file>