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BA22EE" w:rsidP="00BA22EE">
                <w:proofErr w:type="spellStart"/>
                <w:r>
                  <w:t>Arun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BA22EE" w:rsidP="00BA22EE">
                <w:r>
                  <w:t>Kumar</w:t>
                </w:r>
              </w:p>
            </w:tc>
          </w:sdtContent>
        </w:sdt>
        <w:sdt>
          <w:sdtPr>
            <w:rPr>
              <w:lang w:val="en-US"/>
            </w:r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Content>
            <w:tc>
              <w:tcPr>
                <w:tcW w:w="2642" w:type="dxa"/>
              </w:tcPr>
              <w:p w:rsidR="00B574C9" w:rsidRDefault="00BA22EE" w:rsidP="00BA22EE">
                <w:proofErr w:type="spellStart"/>
                <w:r w:rsidRPr="00BA22EE">
                  <w:rPr>
                    <w:lang w:val="en-US"/>
                  </w:rPr>
                  <w:t>Pokhrel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A22EE" w:rsidP="00BA22EE">
                <w:r w:rsidRPr="00BA22EE">
                  <w:rPr>
                    <w:lang w:val="en-US"/>
                  </w:rPr>
                  <w:t>University of Florida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9040E" w:rsidP="0039040E">
                <w:r w:rsidRPr="0039040E">
                  <w:rPr>
                    <w:lang w:val="en-US"/>
                  </w:rPr>
                  <w:t>The Cambridge Ritualists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39040E" w:rsidP="0039040E">
                <w:r>
                  <w:t>T</w:t>
                </w:r>
                <w:r w:rsidRPr="00141B90">
                  <w:t>he Cambridge Group of Classical Anthropologists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39040E" w:rsidP="00E85A05">
                <w:r w:rsidRPr="00141B90">
                  <w:t xml:space="preserve">The Cambridge Ritualists, also known as the Cambridge Group of Classical Anthropologists, were </w:t>
                </w:r>
                <w:r>
                  <w:t>a</w:t>
                </w:r>
                <w:r w:rsidRPr="00141B90">
                  <w:t xml:space="preserve"> closely knit group of four classicists</w:t>
                </w:r>
                <w:r>
                  <w:t xml:space="preserve"> – </w:t>
                </w:r>
                <w:r w:rsidRPr="00141B90">
                  <w:t>Jane Ellen Harrison (1850-1928), Francis M. Cornford (1874-1943), Gilbert Murray (1866-1957) and Arthur Bernard Cook (1868-1952) (Arlen 1). Harrison, a woman of considerable intellectual influence, was a central figure</w:t>
                </w:r>
                <w:r>
                  <w:t>;</w:t>
                </w:r>
                <w:r w:rsidRPr="00141B90">
                  <w:t xml:space="preserve"> except for Murray, a professor of Greek at Oxford, all other members were affiliated with Cambridge University. </w:t>
                </w:r>
                <w:r>
                  <w:t xml:space="preserve">The group shared </w:t>
                </w:r>
                <w:r w:rsidRPr="00141B90">
                  <w:t>a scholarly interest in establishing the common root of myth and ritual</w:t>
                </w:r>
                <w:r>
                  <w:t xml:space="preserve"> and </w:t>
                </w:r>
                <w:r w:rsidRPr="00141B90">
                  <w:t>asserted the primacy of ritual practices over written myth in the study of religion, culture and art</w:t>
                </w:r>
                <w:r>
                  <w:t xml:space="preserve">. Their works captured </w:t>
                </w:r>
                <w:r w:rsidRPr="00141B90">
                  <w:t xml:space="preserve">a new anti-Victorian dynamism, as seen in Harrison’s book </w:t>
                </w:r>
                <w:r w:rsidRPr="00985C85">
                  <w:rPr>
                    <w:i/>
                  </w:rPr>
                  <w:t>Themis</w:t>
                </w:r>
                <w:r w:rsidRPr="00141B90">
                  <w:t xml:space="preserve"> (1912). </w:t>
                </w:r>
              </w:p>
            </w:tc>
          </w:sdtContent>
        </w:sdt>
      </w:tr>
      <w:tr w:rsidR="003F0D73" w:rsidTr="003F0D73">
        <w:tc>
          <w:tcPr>
            <w:tcW w:w="9016" w:type="dxa"/>
            <w:tcMar>
              <w:top w:w="113" w:type="dxa"/>
              <w:bottom w:w="113" w:type="dxa"/>
            </w:tcMar>
          </w:tcPr>
          <w:sdt>
            <w:sdtPr>
              <w:alias w:val="Article text"/>
              <w:tag w:val="articleText"/>
              <w:id w:val="634067588"/>
              <w:placeholder>
                <w:docPart w:val="DBB94F8041BE4F69974CEFC095EACF36"/>
              </w:placeholder>
            </w:sdtPr>
            <w:sdtEndPr/>
            <w:sdtContent>
              <w:p w:rsidR="0039040E" w:rsidRDefault="0039040E" w:rsidP="0039040E">
                <w:r w:rsidRPr="00141B90">
                  <w:t xml:space="preserve">The Cambridge Ritualists, also known as the Cambridge Group of Classical Anthropologists, were </w:t>
                </w:r>
                <w:r>
                  <w:t>a</w:t>
                </w:r>
                <w:r w:rsidRPr="00141B90">
                  <w:t xml:space="preserve"> closely knit group of four classicists</w:t>
                </w:r>
                <w:r>
                  <w:t xml:space="preserve"> – </w:t>
                </w:r>
                <w:r w:rsidRPr="00141B90">
                  <w:t>Jane Ellen Harrison (1850-1928), Francis M. Cornford (1874-1943), Gilbert Murray (1866-1957) and Arthur Bernard Cook (1868-1952) (Arlen 1). Harrison, a woman of considerable intellectual influence, was a central figure</w:t>
                </w:r>
                <w:r>
                  <w:t>;</w:t>
                </w:r>
                <w:r w:rsidRPr="00141B90">
                  <w:t xml:space="preserve"> except for Murray, a professor of Greek at Oxford, all other members were affiliated with Cambridge University. </w:t>
                </w:r>
                <w:r>
                  <w:t xml:space="preserve">The group shared </w:t>
                </w:r>
                <w:r w:rsidRPr="00141B90">
                  <w:t>a scholarly interest in establishing the common root of myth and ritual</w:t>
                </w:r>
                <w:r>
                  <w:t xml:space="preserve"> and </w:t>
                </w:r>
                <w:r w:rsidRPr="00141B90">
                  <w:t>asserted the primacy of ritual practices over written myth in the study of religion, culture and art</w:t>
                </w:r>
                <w:r>
                  <w:t xml:space="preserve">. Their works captured </w:t>
                </w:r>
                <w:r w:rsidRPr="00141B90">
                  <w:t xml:space="preserve">a new anti-Victorian dynamism, as seen in Harrison’s book </w:t>
                </w:r>
                <w:r w:rsidRPr="00985C85">
                  <w:rPr>
                    <w:i/>
                  </w:rPr>
                  <w:t>Themis</w:t>
                </w:r>
                <w:r w:rsidRPr="00141B90">
                  <w:t xml:space="preserve"> (1912). </w:t>
                </w:r>
              </w:p>
              <w:p w:rsidR="0039040E" w:rsidRDefault="0039040E" w:rsidP="0039040E"/>
              <w:p w:rsidR="0039040E" w:rsidRDefault="0039040E" w:rsidP="0039040E">
                <w:r w:rsidRPr="00141B90">
                  <w:t>Reacting against Charles Darwin’s evolutionary theory and the positivist milieu, the ritualists evolved as an intellectual movement between 1900 and 1915</w:t>
                </w:r>
                <w:r>
                  <w:t xml:space="preserve">. They used </w:t>
                </w:r>
                <w:r w:rsidRPr="00141B90">
                  <w:t xml:space="preserve">anthropological, sociological and psychological theories to study ancient Greek culture and drama, while drawing on diverse scholars and philosophers such as Edward Taylor, Herbert Spencer, </w:t>
                </w:r>
                <w:proofErr w:type="spellStart"/>
                <w:r w:rsidRPr="00141B90">
                  <w:t>Émile</w:t>
                </w:r>
                <w:proofErr w:type="spellEnd"/>
                <w:r w:rsidRPr="00141B90">
                  <w:t xml:space="preserve"> Durkheim, Carl Jung, </w:t>
                </w:r>
                <w:r w:rsidRPr="00141B90">
                  <w:rPr>
                    <w:bCs/>
                  </w:rPr>
                  <w:t xml:space="preserve">Friedrich Nietzsche, Sigmund Freud, </w:t>
                </w:r>
                <w:r w:rsidRPr="00141B90">
                  <w:t xml:space="preserve">Henri Bergson and Robertson Smith. Influenced by James G. Frazer’s seminal work </w:t>
                </w:r>
                <w:r w:rsidRPr="00985C85">
                  <w:rPr>
                    <w:i/>
                  </w:rPr>
                  <w:t>The Golden Bough</w:t>
                </w:r>
                <w:r w:rsidRPr="00141B90">
                  <w:rPr>
                    <w:i/>
                  </w:rPr>
                  <w:t>: A Study in Magic and Religion</w:t>
                </w:r>
                <w:r w:rsidRPr="00141B90">
                  <w:t xml:space="preserve"> (1890), the group in turn influenced Frazer, as they also laid the foundation for myth-ritual criticism that anticipated the rise of structuralism in the social sciences. While D.</w:t>
                </w:r>
                <w:r>
                  <w:t xml:space="preserve"> </w:t>
                </w:r>
                <w:r w:rsidRPr="00141B90">
                  <w:t xml:space="preserve">H. Lawrence was familiar with the ritualists’ publications on Greek drama, such as Harrison’s </w:t>
                </w:r>
                <w:r w:rsidRPr="00141B90">
                  <w:rPr>
                    <w:i/>
                  </w:rPr>
                  <w:t>Ancient Art and Ritual</w:t>
                </w:r>
                <w:r w:rsidRPr="00141B90">
                  <w:t xml:space="preserve"> (1913) and </w:t>
                </w:r>
                <w:r w:rsidRPr="00707377">
                  <w:t>Murray’s</w:t>
                </w:r>
                <w:r w:rsidRPr="00141B90">
                  <w:rPr>
                    <w:i/>
                  </w:rPr>
                  <w:t xml:space="preserve"> Euripides and his Age</w:t>
                </w:r>
                <w:r w:rsidRPr="00141B90">
                  <w:t xml:space="preserve"> (1913), the ritualists’ wide-spread influence </w:t>
                </w:r>
                <w:r>
                  <w:t xml:space="preserve">can be </w:t>
                </w:r>
                <w:r w:rsidRPr="00141B90">
                  <w:t>found in the works of many other modernist poets and writers, including T. S. Eliot, W. B. Yeats and James Joyce.</w:t>
                </w:r>
              </w:p>
              <w:p w:rsidR="003F0D73" w:rsidRDefault="00BA22EE" w:rsidP="0039040E"/>
            </w:sdtContent>
          </w:sdt>
          <w:p w:rsidR="0039040E" w:rsidRDefault="0039040E" w:rsidP="0039040E">
            <w:pPr>
              <w:pStyle w:val="Heading1"/>
            </w:pPr>
            <w:r>
              <w:t>List of Works</w:t>
            </w:r>
          </w:p>
          <w:p w:rsidR="0039040E" w:rsidRDefault="0039040E" w:rsidP="0039040E">
            <w:r w:rsidRPr="00141B90">
              <w:t>Cook, A</w:t>
            </w:r>
            <w:r>
              <w:t>rthur Bernard</w:t>
            </w:r>
            <w:r w:rsidRPr="00141B90">
              <w:t xml:space="preserve"> (1895) </w:t>
            </w:r>
            <w:r w:rsidRPr="00141B90">
              <w:rPr>
                <w:i/>
              </w:rPr>
              <w:t>The Metaphysical Basis of Plato’s Ethics</w:t>
            </w:r>
            <w:r w:rsidRPr="00141B90">
              <w:t>, Cambridge: Deighton Bell &amp; Co.</w:t>
            </w:r>
          </w:p>
          <w:p w:rsidR="0039040E" w:rsidRPr="00141B90" w:rsidRDefault="0039040E" w:rsidP="0039040E">
            <w:r w:rsidRPr="00141B90">
              <w:rPr>
                <w:b/>
              </w:rPr>
              <w:lastRenderedPageBreak/>
              <w:t>------</w:t>
            </w:r>
            <w:r w:rsidRPr="00141B90">
              <w:t xml:space="preserve"> (1914-1940) </w:t>
            </w:r>
            <w:r w:rsidRPr="00141B90">
              <w:rPr>
                <w:i/>
              </w:rPr>
              <w:t>Zeus: A Study in Ancient Religion,</w:t>
            </w:r>
            <w:r w:rsidRPr="00141B90">
              <w:t xml:space="preserve"> Cambridge: Cambridge University Press.</w:t>
            </w:r>
          </w:p>
          <w:p w:rsidR="0039040E" w:rsidRPr="00141B90" w:rsidRDefault="0039040E" w:rsidP="0039040E">
            <w:r w:rsidRPr="00141B90">
              <w:t>Cornford, F</w:t>
            </w:r>
            <w:r>
              <w:t>rancis</w:t>
            </w:r>
            <w:r w:rsidRPr="00141B90">
              <w:t xml:space="preserve"> M. (1908)</w:t>
            </w:r>
            <w:r w:rsidRPr="00141B90">
              <w:rPr>
                <w:b/>
              </w:rPr>
              <w:t xml:space="preserve"> </w:t>
            </w:r>
            <w:proofErr w:type="spellStart"/>
            <w:r w:rsidRPr="00141B90">
              <w:rPr>
                <w:i/>
              </w:rPr>
              <w:t>Microcosmographia</w:t>
            </w:r>
            <w:proofErr w:type="spellEnd"/>
            <w:r w:rsidRPr="00141B90">
              <w:rPr>
                <w:i/>
              </w:rPr>
              <w:t xml:space="preserve"> </w:t>
            </w:r>
            <w:proofErr w:type="spellStart"/>
            <w:r w:rsidRPr="00141B90">
              <w:rPr>
                <w:i/>
              </w:rPr>
              <w:t>Academica</w:t>
            </w:r>
            <w:proofErr w:type="spellEnd"/>
            <w:r w:rsidRPr="00141B90">
              <w:rPr>
                <w:i/>
              </w:rPr>
              <w:t>: Being a Guide for the Young Academic Politician</w:t>
            </w:r>
            <w:r w:rsidRPr="00141B90">
              <w:t xml:space="preserve">, Cambridge: Bowes &amp; Bowes Publishers. </w:t>
            </w:r>
          </w:p>
          <w:p w:rsidR="0039040E" w:rsidRPr="00141B90" w:rsidRDefault="0039040E" w:rsidP="0039040E">
            <w:r w:rsidRPr="00141B90">
              <w:rPr>
                <w:b/>
              </w:rPr>
              <w:t xml:space="preserve">------ </w:t>
            </w:r>
            <w:r w:rsidRPr="00141B90">
              <w:t xml:space="preserve">(1937) </w:t>
            </w:r>
            <w:r w:rsidRPr="00141B90">
              <w:rPr>
                <w:i/>
              </w:rPr>
              <w:t>Plato’s Cosmology</w:t>
            </w:r>
            <w:r w:rsidRPr="00141B90">
              <w:t>, London: Routledge &amp; Kegan Paul.</w:t>
            </w:r>
            <w:r w:rsidRPr="00141B90" w:rsidDel="009574E6">
              <w:t xml:space="preserve"> </w:t>
            </w:r>
          </w:p>
          <w:p w:rsidR="0039040E" w:rsidRPr="00141B90" w:rsidRDefault="0039040E" w:rsidP="0039040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Harrison, Jane</w:t>
            </w:r>
            <w:r w:rsidRPr="00141B90">
              <w:rPr>
                <w:rFonts w:eastAsia="Times New Roman"/>
              </w:rPr>
              <w:t xml:space="preserve"> E</w:t>
            </w:r>
            <w:r>
              <w:rPr>
                <w:rFonts w:eastAsia="Times New Roman"/>
              </w:rPr>
              <w:t>llen</w:t>
            </w:r>
            <w:r w:rsidRPr="00141B90">
              <w:rPr>
                <w:rFonts w:eastAsia="Times New Roman"/>
              </w:rPr>
              <w:t xml:space="preserve"> (1903) </w:t>
            </w:r>
            <w:r w:rsidRPr="00141B90">
              <w:rPr>
                <w:rFonts w:eastAsia="Times New Roman"/>
                <w:i/>
              </w:rPr>
              <w:t xml:space="preserve">Prolegomena to the Study of Greek Religion, </w:t>
            </w:r>
            <w:r w:rsidRPr="00141B90">
              <w:rPr>
                <w:rFonts w:eastAsia="Times New Roman"/>
              </w:rPr>
              <w:t>Cambridge: Cambridge University Press.</w:t>
            </w:r>
          </w:p>
          <w:p w:rsidR="0039040E" w:rsidRPr="00141B90" w:rsidRDefault="0039040E" w:rsidP="0039040E">
            <w:r w:rsidRPr="00141B90">
              <w:t>Murray, G</w:t>
            </w:r>
            <w:r>
              <w:t>ilbert</w:t>
            </w:r>
            <w:r w:rsidRPr="00141B90">
              <w:t xml:space="preserve"> (1911) </w:t>
            </w:r>
            <w:r w:rsidRPr="00141B90">
              <w:rPr>
                <w:i/>
              </w:rPr>
              <w:t xml:space="preserve">The Story of </w:t>
            </w:r>
            <w:proofErr w:type="spellStart"/>
            <w:r w:rsidRPr="00141B90">
              <w:rPr>
                <w:i/>
              </w:rPr>
              <w:t>Nefrekepta</w:t>
            </w:r>
            <w:proofErr w:type="spellEnd"/>
            <w:r w:rsidRPr="00141B90">
              <w:rPr>
                <w:i/>
              </w:rPr>
              <w:t xml:space="preserve"> from a Demotic Papyrus</w:t>
            </w:r>
            <w:r w:rsidRPr="00141B90">
              <w:t xml:space="preserve">, Oxford: The Clarendon Press. </w:t>
            </w:r>
          </w:p>
          <w:p w:rsidR="0039040E" w:rsidRPr="0039040E" w:rsidRDefault="0039040E" w:rsidP="0039040E">
            <w:r w:rsidRPr="00141B90">
              <w:rPr>
                <w:b/>
              </w:rPr>
              <w:t>------</w:t>
            </w:r>
            <w:r w:rsidRPr="00141B90">
              <w:t xml:space="preserve"> (1925) </w:t>
            </w:r>
            <w:r w:rsidRPr="00141B90">
              <w:rPr>
                <w:i/>
              </w:rPr>
              <w:t>Five Stages of Greek Religion</w:t>
            </w:r>
            <w:r w:rsidRPr="00141B90">
              <w:t>, Boston: The Beacon Press.</w:t>
            </w:r>
          </w:p>
        </w:tc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:rsidR="005657D9" w:rsidRDefault="005657D9" w:rsidP="0039040E">
                <w:sdt>
                  <w:sdtPr>
                    <w:id w:val="-138956879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Ackerman91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5657D9">
                      <w:rPr>
                        <w:noProof/>
                        <w:lang w:val="en-CA"/>
                      </w:rPr>
                      <w:t>(Ackerman)</w:t>
                    </w:r>
                    <w:r>
                      <w:fldChar w:fldCharType="end"/>
                    </w:r>
                  </w:sdtContent>
                </w:sdt>
              </w:p>
              <w:p w:rsidR="005657D9" w:rsidRDefault="005657D9" w:rsidP="0039040E">
                <w:sdt>
                  <w:sdtPr>
                    <w:id w:val="82285493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Ackerman1991 \l 4105 </w:instrText>
                    </w:r>
                    <w:r>
                      <w:fldChar w:fldCharType="separate"/>
                    </w:r>
                    <w:r w:rsidRPr="005657D9">
                      <w:rPr>
                        <w:noProof/>
                        <w:lang w:val="en-CA"/>
                      </w:rPr>
                      <w:t>(Ackerman, The Myth and Ritual School: J. G. Frazer and the Cambridge Ritualists)</w:t>
                    </w:r>
                    <w:r>
                      <w:fldChar w:fldCharType="end"/>
                    </w:r>
                  </w:sdtContent>
                </w:sdt>
              </w:p>
              <w:p w:rsidR="005657D9" w:rsidRDefault="005657D9" w:rsidP="0039040E">
                <w:sdt>
                  <w:sdtPr>
                    <w:id w:val="-80932190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Arlen90 \l 4105 </w:instrText>
                    </w:r>
                    <w:r>
                      <w:fldChar w:fldCharType="separate"/>
                    </w:r>
                    <w:r w:rsidRPr="005657D9">
                      <w:rPr>
                        <w:noProof/>
                        <w:lang w:val="en-CA"/>
                      </w:rPr>
                      <w:t>(Arlen)</w:t>
                    </w:r>
                    <w:r>
                      <w:fldChar w:fldCharType="end"/>
                    </w:r>
                  </w:sdtContent>
                </w:sdt>
              </w:p>
              <w:p w:rsidR="005657D9" w:rsidRDefault="005657D9" w:rsidP="0039040E">
                <w:sdt>
                  <w:sdtPr>
                    <w:id w:val="13021028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Frazer42 \l 4105 </w:instrText>
                    </w:r>
                    <w:r>
                      <w:fldChar w:fldCharType="separate"/>
                    </w:r>
                    <w:r w:rsidRPr="005657D9">
                      <w:rPr>
                        <w:noProof/>
                        <w:lang w:val="en-CA"/>
                      </w:rPr>
                      <w:t>(Frazer)</w:t>
                    </w:r>
                    <w:r>
                      <w:fldChar w:fldCharType="end"/>
                    </w:r>
                  </w:sdtContent>
                </w:sdt>
              </w:p>
              <w:p w:rsidR="0039040E" w:rsidRPr="00141B90" w:rsidRDefault="005657D9" w:rsidP="0039040E">
                <w:sdt>
                  <w:sdtPr>
                    <w:id w:val="74854275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Frye57 \l 4105 </w:instrText>
                    </w:r>
                    <w:r>
                      <w:fldChar w:fldCharType="separate"/>
                    </w:r>
                    <w:r w:rsidRPr="005657D9">
                      <w:rPr>
                        <w:noProof/>
                        <w:lang w:val="en-CA"/>
                      </w:rPr>
                      <w:t>(Frye)</w:t>
                    </w:r>
                    <w:r>
                      <w:fldChar w:fldCharType="end"/>
                    </w:r>
                  </w:sdtContent>
                </w:sdt>
              </w:p>
              <w:p w:rsidR="00BA22EE" w:rsidRDefault="00BA22EE" w:rsidP="0039040E">
                <w:pPr>
                  <w:rPr>
                    <w:rFonts w:eastAsia="Times New Roman"/>
                  </w:rPr>
                </w:pPr>
                <w:sdt>
                  <w:sdtPr>
                    <w:rPr>
                      <w:rFonts w:eastAsia="Times New Roman"/>
                    </w:rPr>
                    <w:id w:val="730653963"/>
                    <w:citation/>
                  </w:sdtPr>
                  <w:sdtContent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  <w:lang w:val="en-CA"/>
                      </w:rPr>
                      <w:instrText xml:space="preserve"> CITATION Harrison13 \l 4105 </w:instrText>
                    </w:r>
                    <w:r>
                      <w:rPr>
                        <w:rFonts w:eastAsia="Times New Roman"/>
                      </w:rPr>
                      <w:fldChar w:fldCharType="separate"/>
                    </w:r>
                    <w:r w:rsidRPr="00BA22EE">
                      <w:rPr>
                        <w:rFonts w:eastAsia="Times New Roman"/>
                        <w:noProof/>
                        <w:lang w:val="en-CA"/>
                      </w:rPr>
                      <w:t>(Harrison)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sdtContent>
                </w:sdt>
              </w:p>
              <w:p w:rsidR="00BA22EE" w:rsidRDefault="00BA22EE" w:rsidP="0039040E">
                <w:pPr>
                  <w:rPr>
                    <w:bCs/>
                    <w:color w:val="000000"/>
                  </w:rPr>
                </w:pPr>
                <w:sdt>
                  <w:sdtPr>
                    <w:rPr>
                      <w:bCs/>
                      <w:color w:val="000000"/>
                    </w:rPr>
                    <w:id w:val="-1419475063"/>
                    <w:citation/>
                  </w:sdtPr>
                  <w:sdtContent>
                    <w:r>
                      <w:rPr>
                        <w:bCs/>
                        <w:color w:val="000000"/>
                      </w:rPr>
                      <w:fldChar w:fldCharType="begin"/>
                    </w:r>
                    <w:r>
                      <w:rPr>
                        <w:rFonts w:eastAsia="Times New Roman"/>
                        <w:lang w:val="en-CA"/>
                      </w:rPr>
                      <w:instrText xml:space="preserve"> CITATION Harrison12 \l 4105 </w:instrText>
                    </w:r>
                    <w:r>
                      <w:rPr>
                        <w:bCs/>
                        <w:color w:val="000000"/>
                      </w:rPr>
                      <w:fldChar w:fldCharType="separate"/>
                    </w:r>
                    <w:r w:rsidRPr="00BA22EE">
                      <w:rPr>
                        <w:rFonts w:eastAsia="Times New Roman"/>
                        <w:noProof/>
                        <w:lang w:val="en-CA"/>
                      </w:rPr>
                      <w:t>(Harrison, Themis: A Study of the Social Origins of Greek Religion)</w:t>
                    </w:r>
                    <w:r>
                      <w:rPr>
                        <w:bCs/>
                        <w:color w:val="000000"/>
                      </w:rPr>
                      <w:fldChar w:fldCharType="end"/>
                    </w:r>
                  </w:sdtContent>
                </w:sdt>
              </w:p>
              <w:p w:rsidR="00BA22EE" w:rsidRDefault="00BA22EE" w:rsidP="0039040E">
                <w:sdt>
                  <w:sdtPr>
                    <w:id w:val="119141915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bCs/>
                        <w:color w:val="000000"/>
                        <w:lang w:val="en-CA"/>
                      </w:rPr>
                      <w:instrText xml:space="preserve"> CITATION Murray13 \l 4105 </w:instrText>
                    </w:r>
                    <w:r>
                      <w:fldChar w:fldCharType="separate"/>
                    </w:r>
                    <w:r w:rsidRPr="00BA22EE">
                      <w:rPr>
                        <w:noProof/>
                        <w:color w:val="000000"/>
                        <w:lang w:val="en-CA"/>
                      </w:rPr>
                      <w:t>(Murray)</w:t>
                    </w:r>
                    <w:r>
                      <w:fldChar w:fldCharType="end"/>
                    </w:r>
                  </w:sdtContent>
                </w:sdt>
              </w:p>
              <w:p w:rsidR="00BA22EE" w:rsidRDefault="00BA22EE" w:rsidP="0039040E">
                <w:sdt>
                  <w:sdtPr>
                    <w:id w:val="-142124857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Kirk70 \l 4105 </w:instrText>
                    </w:r>
                    <w:r>
                      <w:fldChar w:fldCharType="separate"/>
                    </w:r>
                    <w:r w:rsidRPr="00BA22EE">
                      <w:rPr>
                        <w:noProof/>
                        <w:lang w:val="en-CA"/>
                      </w:rPr>
                      <w:t>(Kirk)</w:t>
                    </w:r>
                    <w:r>
                      <w:fldChar w:fldCharType="end"/>
                    </w:r>
                  </w:sdtContent>
                </w:sdt>
              </w:p>
              <w:p w:rsidR="003235A7" w:rsidRPr="0039040E" w:rsidRDefault="00BA22EE" w:rsidP="0039040E">
                <w:sdt>
                  <w:sdtPr>
                    <w:id w:val="672105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Vickery66 \l 4105 </w:instrText>
                    </w:r>
                    <w:r>
                      <w:fldChar w:fldCharType="separate"/>
                    </w:r>
                    <w:r w:rsidRPr="00BA22EE">
                      <w:rPr>
                        <w:noProof/>
                        <w:lang w:val="en-CA"/>
                      </w:rPr>
                      <w:t>(Vickery)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88D" w:rsidRDefault="001C288D" w:rsidP="007A0D55">
      <w:pPr>
        <w:spacing w:after="0" w:line="240" w:lineRule="auto"/>
      </w:pPr>
      <w:r>
        <w:separator/>
      </w:r>
    </w:p>
  </w:endnote>
  <w:end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88D" w:rsidRDefault="001C288D" w:rsidP="007A0D55">
      <w:pPr>
        <w:spacing w:after="0" w:line="240" w:lineRule="auto"/>
      </w:pPr>
      <w:r>
        <w:separator/>
      </w:r>
    </w:p>
  </w:footnote>
  <w:foot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9040E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657D9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A22EE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8F000A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8F000A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8F000A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8F000A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8F000A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8F000A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8F000A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8F000A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8F000A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8F000A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8F000A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57546F"/>
    <w:rsid w:val="008F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Ackerman91</b:Tag>
    <b:SourceType>BookSection</b:SourceType>
    <b:Guid>{9FB05F9F-1055-4B17-B3E7-55A2748A07B7}</b:Guid>
    <b:Title>The Cambridge Group: Origins and Composition</b:Title>
    <b:City>Atlanta</b:City>
    <b:Medium>Print</b:Medium>
    <b:Year>1991</b:Year>
    <b:Author>
      <b:Author>
        <b:NameList>
          <b:Person>
            <b:Last>Ackerman</b:Last>
            <b:First>Robert</b:First>
          </b:Person>
        </b:NameList>
      </b:Author>
      <b:BookAuthor>
        <b:NameList>
          <b:Person>
            <b:Last>Calder</b:Last>
            <b:First>William</b:First>
            <b:Middle>Musgrave (ed.)</b:Middle>
          </b:Person>
        </b:NameList>
      </b:BookAuthor>
    </b:Author>
    <b:BookTitle>The Cambridge Ritualists Reconsidered: Proceedings of the First Oldfather Conference</b:BookTitle>
    <b:Publisher>Scholars Press</b:Publisher>
    <b:RefOrder>1</b:RefOrder>
  </b:Source>
  <b:Source>
    <b:Tag>Ackerman1991</b:Tag>
    <b:SourceType>Book</b:SourceType>
    <b:Guid>{A6ECF98F-224B-499C-A508-F641B8B2148C}</b:Guid>
    <b:Author>
      <b:Author>
        <b:NameList>
          <b:Person>
            <b:Last>Ackerman</b:Last>
            <b:First>Robert</b:First>
          </b:Person>
        </b:NameList>
      </b:Author>
    </b:Author>
    <b:Title>The Myth and Ritual School: J. G. Frazer and the Cambridge Ritualists</b:Title>
    <b:Year>1991</b:Year>
    <b:City>New York and London</b:City>
    <b:Publisher>Garland Publishing</b:Publisher>
    <b:Medium>Print</b:Medium>
    <b:RefOrder>2</b:RefOrder>
  </b:Source>
  <b:Source>
    <b:Tag>Arlen90</b:Tag>
    <b:SourceType>Book</b:SourceType>
    <b:Guid>{3C7D17FA-106A-4016-9069-56D910B431B8}</b:Guid>
    <b:Author>
      <b:Author>
        <b:NameList>
          <b:Person>
            <b:Last>Arlen</b:Last>
            <b:First>Shelley</b:First>
          </b:Person>
        </b:NameList>
      </b:Author>
    </b:Author>
    <b:Title>The Cambridge Ritualists: An Annotated Bibliography of the Works by and about Jane Ellen Harrison, Gilbert Murray, Francis M. Cornford, and Arthur Bernard Cook</b:Title>
    <b:Year>1990</b:Year>
    <b:City>New Jersey and London</b:City>
    <b:Publisher>The Scarecrow Press</b:Publisher>
    <b:Medium>Print</b:Medium>
    <b:RefOrder>3</b:RefOrder>
  </b:Source>
  <b:Source>
    <b:Tag>Frazer42</b:Tag>
    <b:SourceType>Book</b:SourceType>
    <b:Guid>{FFE5F772-DC03-409B-831C-984742A83BD3}</b:Guid>
    <b:Author>
      <b:Author>
        <b:NameList>
          <b:Person>
            <b:Last>Frazer</b:Last>
            <b:First>James</b:First>
            <b:Middle>George</b:Middle>
          </b:Person>
        </b:NameList>
      </b:Author>
    </b:Author>
    <b:Title>The Golden Bough: A Study in Magic and Religion, Vol.1</b:Title>
    <b:Year>1942</b:Year>
    <b:City>New York</b:City>
    <b:Publisher>The Macmillan Company</b:Publisher>
    <b:Medium>Print</b:Medium>
    <b:RefOrder>4</b:RefOrder>
  </b:Source>
  <b:Source>
    <b:Tag>Frye57</b:Tag>
    <b:SourceType>Book</b:SourceType>
    <b:Guid>{185F8396-3FD2-4884-B722-EAD68944F919}</b:Guid>
    <b:Author>
      <b:Author>
        <b:NameList>
          <b:Person>
            <b:Last>Frye</b:Last>
            <b:First>Northrop</b:First>
          </b:Person>
        </b:NameList>
      </b:Author>
    </b:Author>
    <b:Title>Anatomy of Criticism</b:Title>
    <b:Year>1957</b:Year>
    <b:City>New Jersey</b:City>
    <b:Publisher>Princeton University Press</b:Publisher>
    <b:Medium>Print</b:Medium>
    <b:RefOrder>5</b:RefOrder>
  </b:Source>
  <b:Source>
    <b:Tag>Harrison13</b:Tag>
    <b:SourceType>Book</b:SourceType>
    <b:Guid>{943EAA83-B560-48E6-B644-5DB0B36BF09A}</b:Guid>
    <b:Author>
      <b:Author>
        <b:NameList>
          <b:Person>
            <b:Last>Harrison</b:Last>
            <b:First>Jane</b:First>
            <b:Middle>Ellen</b:Middle>
          </b:Person>
        </b:NameList>
      </b:Author>
    </b:Author>
    <b:Title>Ancient Art and Ritual</b:Title>
    <b:Year>1913</b:Year>
    <b:City>Cambridge</b:City>
    <b:Publisher>Cambridge University Press</b:Publisher>
    <b:Medium>Print</b:Medium>
    <b:RefOrder>6</b:RefOrder>
  </b:Source>
  <b:Source>
    <b:Tag>Harrison12</b:Tag>
    <b:SourceType>Book</b:SourceType>
    <b:Guid>{4E2FFFB3-8C82-487A-9FED-E08A7E043FBE}</b:Guid>
    <b:Author>
      <b:Author>
        <b:NameList>
          <b:Person>
            <b:Last>Harrison</b:Last>
            <b:First>Jane</b:First>
            <b:Middle>Ellen</b:Middle>
          </b:Person>
        </b:NameList>
      </b:Author>
    </b:Author>
    <b:Title>Themis: A Study of the Social Origins of Greek Religion</b:Title>
    <b:Year>1912</b:Year>
    <b:City>Cambridge</b:City>
    <b:Publisher>Cambridge University Press</b:Publisher>
    <b:Medium>Print</b:Medium>
    <b:RefOrder>7</b:RefOrder>
  </b:Source>
  <b:Source>
    <b:Tag>Murray13</b:Tag>
    <b:SourceType>Book</b:SourceType>
    <b:Guid>{AE16E66D-5C28-4DFF-9468-905987A25590}</b:Guid>
    <b:Author>
      <b:Author>
        <b:NameList>
          <b:Person>
            <b:Last>Murray</b:Last>
            <b:First>Gilbert</b:First>
          </b:Person>
        </b:NameList>
      </b:Author>
    </b:Author>
    <b:Title>Euripides and His Age</b:Title>
    <b:Year>1913</b:Year>
    <b:City>London</b:City>
    <b:Publisher>Williams and Norgate</b:Publisher>
    <b:Medium>Print</b:Medium>
    <b:RefOrder>8</b:RefOrder>
  </b:Source>
  <b:Source>
    <b:Tag>Kirk70</b:Tag>
    <b:SourceType>Book</b:SourceType>
    <b:Guid>{EFF84D12-E4B3-4A61-A14D-3F006BB90AD2}</b:Guid>
    <b:Author>
      <b:Author>
        <b:NameList>
          <b:Person>
            <b:Last>Kirk</b:Last>
            <b:First>Geoffrey</b:First>
            <b:Middle>Stephen</b:Middle>
          </b:Person>
        </b:NameList>
      </b:Author>
    </b:Author>
    <b:Title>Myth, Its Meaning and Functions in Ancient and Other Cultures, Vol. 40</b:Title>
    <b:Year>1970</b:Year>
    <b:City>Los Angeles</b:City>
    <b:Publisher>University of California Press</b:Publisher>
    <b:Medium>Print</b:Medium>
    <b:RefOrder>9</b:RefOrder>
  </b:Source>
  <b:Source>
    <b:Tag>Vickery66</b:Tag>
    <b:SourceType>Book</b:SourceType>
    <b:Guid>{724768FE-6E25-46C1-AD32-6C32C7008EA6}</b:Guid>
    <b:Author>
      <b:Author>
        <b:NameList>
          <b:Person>
            <b:Last>Vickery</b:Last>
            <b:First>John</b:First>
            <b:Middle>B. (ed.)</b:Middle>
          </b:Person>
        </b:NameList>
      </b:Author>
    </b:Author>
    <b:Title>Myth and Literature: Contemporary Theory and Practice</b:Title>
    <b:Year>1966</b:Year>
    <b:City>Lincoln</b:City>
    <b:Publisher>University of Nebraska Press</b:Publisher>
    <b:Medium>Print</b:Medium>
    <b:RefOrder>10</b:RefOrder>
  </b:Source>
</b:Sources>
</file>

<file path=customXml/itemProps1.xml><?xml version="1.0" encoding="utf-8"?>
<ds:datastoreItem xmlns:ds="http://schemas.openxmlformats.org/officeDocument/2006/customXml" ds:itemID="{F4197855-5C36-4DF7-BE1B-1E56F9815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</TotalTime>
  <Pages>2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2</cp:revision>
  <dcterms:created xsi:type="dcterms:W3CDTF">2015-11-25T08:56:00Z</dcterms:created>
  <dcterms:modified xsi:type="dcterms:W3CDTF">2015-11-25T08:56:00Z</dcterms:modified>
</cp:coreProperties>
</file>