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D23611">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6FB559E64913F4BBD8BE94F58AD8553"/>
            </w:placeholder>
            <w:showingPlcHdr/>
            <w:dropDownList>
              <w:listItem w:displayText="Dr." w:value="Dr."/>
              <w:listItem w:displayText="Prof." w:value="Prof."/>
            </w:dropDownList>
          </w:sdtPr>
          <w:sdtEndPr/>
          <w:sdtContent>
            <w:tc>
              <w:tcPr>
                <w:tcW w:w="1296"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C28967C44EEA345B26D24D13CED8DA9"/>
            </w:placeholder>
            <w:text/>
          </w:sdtPr>
          <w:sdtEndPr/>
          <w:sdtContent>
            <w:tc>
              <w:tcPr>
                <w:tcW w:w="2073" w:type="dxa"/>
              </w:tcPr>
              <w:p w:rsidR="00B574C9" w:rsidRDefault="00D23611" w:rsidP="00D23611">
                <w:proofErr w:type="spellStart"/>
                <w:r>
                  <w:t>Sascha</w:t>
                </w:r>
                <w:proofErr w:type="spellEnd"/>
              </w:p>
            </w:tc>
          </w:sdtContent>
        </w:sdt>
        <w:sdt>
          <w:sdtPr>
            <w:alias w:val="Middle name"/>
            <w:tag w:val="authorMiddleName"/>
            <w:id w:val="-2076034781"/>
            <w:placeholder>
              <w:docPart w:val="07AD09D19398FD4689F61DD2EECE0D2F"/>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3AEA9ABAD79324083D0D9885081032E"/>
            </w:placeholder>
            <w:text/>
          </w:sdtPr>
          <w:sdtEndPr/>
          <w:sdtContent>
            <w:tc>
              <w:tcPr>
                <w:tcW w:w="2642" w:type="dxa"/>
              </w:tcPr>
              <w:p w:rsidR="00B574C9" w:rsidRDefault="00D23611" w:rsidP="00D23611">
                <w:proofErr w:type="spellStart"/>
                <w:r>
                  <w:t>Bru</w:t>
                </w:r>
                <w:proofErr w:type="spellEnd"/>
              </w:p>
            </w:tc>
          </w:sdtContent>
        </w:sdt>
      </w:tr>
      <w:tr w:rsidR="00B574C9" w:rsidTr="00D23611">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37B776C9B309F46B76311D0651B65C3"/>
            </w:placeholder>
            <w:showingPlcHdr/>
          </w:sdtPr>
          <w:sdtEndPr/>
          <w:sdtContent>
            <w:tc>
              <w:tcPr>
                <w:tcW w:w="8562" w:type="dxa"/>
                <w:gridSpan w:val="4"/>
              </w:tcPr>
              <w:p w:rsidR="00B574C9" w:rsidRDefault="00B574C9" w:rsidP="00922950">
                <w:r>
                  <w:rPr>
                    <w:rStyle w:val="PlaceholderText"/>
                  </w:rPr>
                  <w:t>[Enter your biography]</w:t>
                </w:r>
              </w:p>
            </w:tc>
          </w:sdtContent>
        </w:sdt>
      </w:tr>
      <w:tr w:rsidR="00B574C9" w:rsidTr="00D23611">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EA3C52EEE24794A990B0D665FB14B43"/>
            </w:placeholder>
            <w:text/>
          </w:sdtPr>
          <w:sdtContent>
            <w:tc>
              <w:tcPr>
                <w:tcW w:w="8562" w:type="dxa"/>
                <w:gridSpan w:val="4"/>
              </w:tcPr>
              <w:p w:rsidR="00B574C9" w:rsidRDefault="00D23611" w:rsidP="00B574C9">
                <w:r w:rsidRPr="00D23611">
                  <w:rPr>
                    <w:rFonts w:ascii="Calibri" w:eastAsia="Times New Roman" w:hAnsi="Calibri" w:cs="Times New Roman"/>
                    <w:szCs w:val="20"/>
                    <w:lang w:val="en-CA"/>
                  </w:rPr>
                  <w:t>Leuven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4F2DCFD9F3AEA34EBC2A0228F98165EA"/>
            </w:placeholder>
            <w:text/>
          </w:sdtPr>
          <w:sdtContent>
            <w:tc>
              <w:tcPr>
                <w:tcW w:w="9016" w:type="dxa"/>
                <w:tcMar>
                  <w:top w:w="113" w:type="dxa"/>
                  <w:bottom w:w="113" w:type="dxa"/>
                </w:tcMar>
              </w:tcPr>
              <w:p w:rsidR="003F0D73" w:rsidRPr="00FB589A" w:rsidRDefault="00D23611" w:rsidP="003F0D73">
                <w:pPr>
                  <w:rPr>
                    <w:b/>
                  </w:rPr>
                </w:pPr>
                <w:r w:rsidRPr="00D23611">
                  <w:t>Canetti, Elias (1905–1994)</w:t>
                </w:r>
              </w:p>
            </w:tc>
          </w:sdtContent>
        </w:sdt>
      </w:tr>
      <w:tr w:rsidR="00464699" w:rsidTr="007821B0">
        <w:sdt>
          <w:sdtPr>
            <w:alias w:val="Variant headwords"/>
            <w:tag w:val="variantHeadwords"/>
            <w:id w:val="173464402"/>
            <w:placeholder>
              <w:docPart w:val="73520ECB0890854AB5F116F16F90A32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FCCF30E8632EB48A6FA8D5E40FB5F84"/>
            </w:placeholder>
          </w:sdtPr>
          <w:sdtEndPr/>
          <w:sdtContent>
            <w:tc>
              <w:tcPr>
                <w:tcW w:w="9016" w:type="dxa"/>
                <w:tcMar>
                  <w:top w:w="113" w:type="dxa"/>
                  <w:bottom w:w="113" w:type="dxa"/>
                </w:tcMar>
              </w:tcPr>
              <w:p w:rsidR="00D23611" w:rsidRDefault="00D23611" w:rsidP="00D23611">
                <w:pPr>
                  <w:rPr>
                    <w:lang w:val="en-US"/>
                  </w:rPr>
                </w:pPr>
                <w:r w:rsidRPr="00E0134C">
                  <w:rPr>
                    <w:lang w:val="en-US"/>
                  </w:rPr>
                  <w:t xml:space="preserve">Elias Canetti, </w:t>
                </w:r>
                <w:r>
                  <w:rPr>
                    <w:lang w:val="en-US"/>
                  </w:rPr>
                  <w:t xml:space="preserve">1981 </w:t>
                </w:r>
                <w:r w:rsidRPr="00E0134C">
                  <w:rPr>
                    <w:lang w:val="en-US"/>
                  </w:rPr>
                  <w:t xml:space="preserve">winner of the Nobel Prize in Literature, </w:t>
                </w:r>
                <w:r>
                  <w:rPr>
                    <w:lang w:val="en-US"/>
                  </w:rPr>
                  <w:t xml:space="preserve">spent the first half of his life travelling, often surrounded by violence. The second half of his life went to (autobiographical) writing that used his travel experiences as material. His debut, </w:t>
                </w:r>
                <w:r w:rsidRPr="000C5B62">
                  <w:rPr>
                    <w:i/>
                    <w:lang w:val="en-US"/>
                  </w:rPr>
                  <w:t xml:space="preserve">Die </w:t>
                </w:r>
                <w:proofErr w:type="spellStart"/>
                <w:r w:rsidRPr="000C5B62">
                  <w:rPr>
                    <w:i/>
                    <w:lang w:val="en-US"/>
                  </w:rPr>
                  <w:t>Blendung</w:t>
                </w:r>
                <w:proofErr w:type="spellEnd"/>
                <w:r>
                  <w:rPr>
                    <w:lang w:val="en-US"/>
                  </w:rPr>
                  <w:t xml:space="preserve"> (1935, literally “the glare” but published in an English translation as </w:t>
                </w:r>
                <w:r>
                  <w:rPr>
                    <w:i/>
                    <w:lang w:val="en-US"/>
                  </w:rPr>
                  <w:t>Auto-d</w:t>
                </w:r>
                <w:r w:rsidRPr="000C5B62">
                  <w:rPr>
                    <w:i/>
                    <w:lang w:val="en-US"/>
                  </w:rPr>
                  <w:t>a-</w:t>
                </w:r>
                <w:proofErr w:type="spellStart"/>
                <w:r w:rsidRPr="000C5B62">
                  <w:rPr>
                    <w:i/>
                    <w:lang w:val="en-US"/>
                  </w:rPr>
                  <w:t>Fé</w:t>
                </w:r>
                <w:proofErr w:type="spellEnd"/>
                <w:r>
                  <w:rPr>
                    <w:lang w:val="en-US"/>
                  </w:rPr>
                  <w:t xml:space="preserve"> in 1946), is a widely celebrated, late modernist novel. His book-length essay </w:t>
                </w:r>
                <w:r w:rsidRPr="0028314B">
                  <w:rPr>
                    <w:i/>
                    <w:lang w:val="en-US"/>
                  </w:rPr>
                  <w:t xml:space="preserve">Masse und </w:t>
                </w:r>
                <w:proofErr w:type="spellStart"/>
                <w:r w:rsidRPr="0028314B">
                  <w:rPr>
                    <w:i/>
                    <w:lang w:val="en-US"/>
                  </w:rPr>
                  <w:t>Macht</w:t>
                </w:r>
                <w:proofErr w:type="spellEnd"/>
                <w:r>
                  <w:rPr>
                    <w:lang w:val="en-US"/>
                  </w:rPr>
                  <w:t xml:space="preserve"> (Crowds and Power, 1960) today still is often cited in discussions about crowd psychology.  </w:t>
                </w:r>
              </w:p>
              <w:p w:rsidR="00D23611" w:rsidRDefault="00D23611" w:rsidP="00D23611">
                <w:pPr>
                  <w:rPr>
                    <w:lang w:val="en-US"/>
                  </w:rPr>
                </w:pPr>
              </w:p>
              <w:p w:rsidR="00E85A05" w:rsidRDefault="00D23611" w:rsidP="00D23611">
                <w:r>
                  <w:rPr>
                    <w:lang w:val="en-US"/>
                  </w:rPr>
                  <w:t xml:space="preserve">Born in a family of Sephardic Jews in Ruse, a city on the Danube in Bulgaria, Canetti moved to Britain, and, after the death of his father in 1912, to Lausanne and then to Vienna. When he arrived there at the age of seven, Canetti already spoke four languages: Ladino or Judeo-Spanish (his mother tongue), Bulgarian, English and some French. After further moving to Zurich and Frankfurt, he returned to Vienna to gain a degree in chemistry (1929), but at that point already it had become abundantly clear that philosophy and literature were his real passions. Witnessing the growing threat of Nazism in Austria, which in 1938 eventually led to the </w:t>
                </w:r>
                <w:r w:rsidRPr="0028314B">
                  <w:rPr>
                    <w:i/>
                    <w:lang w:val="en-US"/>
                  </w:rPr>
                  <w:t>Anschluss</w:t>
                </w:r>
                <w:r>
                  <w:rPr>
                    <w:lang w:val="en-US"/>
                  </w:rPr>
                  <w:t xml:space="preserve"> of Austria to Germany, he moved back to Britain, where he settled until the 1970s, and then to</w:t>
                </w:r>
                <w:r w:rsidRPr="007C2F7B">
                  <w:rPr>
                    <w:lang w:val="en-US"/>
                  </w:rPr>
                  <w:t xml:space="preserve"> </w:t>
                </w:r>
                <w:r>
                  <w:rPr>
                    <w:lang w:val="en-US"/>
                  </w:rPr>
                  <w:t>Zürich, where he eventually died.</w:t>
                </w:r>
              </w:p>
            </w:tc>
          </w:sdtContent>
        </w:sdt>
      </w:tr>
      <w:tr w:rsidR="003F0D73" w:rsidTr="003F0D73">
        <w:sdt>
          <w:sdtPr>
            <w:alias w:val="Article text"/>
            <w:tag w:val="articleText"/>
            <w:id w:val="634067588"/>
            <w:placeholder>
              <w:docPart w:val="44E3D74CAF28E148B0E062A6E9422961"/>
            </w:placeholder>
          </w:sdtPr>
          <w:sdtEndPr>
            <w:rPr>
              <w:b/>
              <w:color w:val="385623" w:themeColor="accent6" w:themeShade="80"/>
            </w:rPr>
          </w:sdtEndPr>
          <w:sdtContent>
            <w:tc>
              <w:tcPr>
                <w:tcW w:w="9016" w:type="dxa"/>
                <w:tcMar>
                  <w:top w:w="113" w:type="dxa"/>
                  <w:bottom w:w="113" w:type="dxa"/>
                </w:tcMar>
              </w:tcPr>
              <w:p w:rsidR="00D23611" w:rsidRDefault="00D23611" w:rsidP="00D23611">
                <w:pPr>
                  <w:rPr>
                    <w:lang w:val="en-US"/>
                  </w:rPr>
                </w:pPr>
                <w:r w:rsidRPr="00E0134C">
                  <w:rPr>
                    <w:lang w:val="en-US"/>
                  </w:rPr>
                  <w:t xml:space="preserve">Elias Canetti, </w:t>
                </w:r>
                <w:r>
                  <w:rPr>
                    <w:lang w:val="en-US"/>
                  </w:rPr>
                  <w:t xml:space="preserve">1981 </w:t>
                </w:r>
                <w:r w:rsidRPr="00E0134C">
                  <w:rPr>
                    <w:lang w:val="en-US"/>
                  </w:rPr>
                  <w:t xml:space="preserve">winner of the Nobel Prize in Literature, </w:t>
                </w:r>
                <w:r>
                  <w:rPr>
                    <w:lang w:val="en-US"/>
                  </w:rPr>
                  <w:t xml:space="preserve">spent the first half of his life travelling, often surrounded by violence. The second half of his life went to (autobiographical) writing that used his travel experiences as material. His debut, </w:t>
                </w:r>
                <w:r w:rsidRPr="000C5B62">
                  <w:rPr>
                    <w:i/>
                    <w:lang w:val="en-US"/>
                  </w:rPr>
                  <w:t xml:space="preserve">Die </w:t>
                </w:r>
                <w:proofErr w:type="spellStart"/>
                <w:r w:rsidRPr="000C5B62">
                  <w:rPr>
                    <w:i/>
                    <w:lang w:val="en-US"/>
                  </w:rPr>
                  <w:t>Blendung</w:t>
                </w:r>
                <w:proofErr w:type="spellEnd"/>
                <w:r>
                  <w:rPr>
                    <w:lang w:val="en-US"/>
                  </w:rPr>
                  <w:t xml:space="preserve"> (1935, literally “the glare” but published in an English translation as </w:t>
                </w:r>
                <w:r>
                  <w:rPr>
                    <w:i/>
                    <w:lang w:val="en-US"/>
                  </w:rPr>
                  <w:t>Auto-d</w:t>
                </w:r>
                <w:r w:rsidRPr="000C5B62">
                  <w:rPr>
                    <w:i/>
                    <w:lang w:val="en-US"/>
                  </w:rPr>
                  <w:t>a-</w:t>
                </w:r>
                <w:proofErr w:type="spellStart"/>
                <w:r w:rsidRPr="000C5B62">
                  <w:rPr>
                    <w:i/>
                    <w:lang w:val="en-US"/>
                  </w:rPr>
                  <w:t>Fé</w:t>
                </w:r>
                <w:proofErr w:type="spellEnd"/>
                <w:r>
                  <w:rPr>
                    <w:lang w:val="en-US"/>
                  </w:rPr>
                  <w:t xml:space="preserve"> in 1946), is a widely celebrated, late modernist novel. His book-length essay </w:t>
                </w:r>
                <w:r w:rsidRPr="0028314B">
                  <w:rPr>
                    <w:i/>
                    <w:lang w:val="en-US"/>
                  </w:rPr>
                  <w:t xml:space="preserve">Masse und </w:t>
                </w:r>
                <w:proofErr w:type="spellStart"/>
                <w:r w:rsidRPr="0028314B">
                  <w:rPr>
                    <w:i/>
                    <w:lang w:val="en-US"/>
                  </w:rPr>
                  <w:t>Macht</w:t>
                </w:r>
                <w:proofErr w:type="spellEnd"/>
                <w:r>
                  <w:rPr>
                    <w:lang w:val="en-US"/>
                  </w:rPr>
                  <w:t xml:space="preserve"> (Crowds and Power, 1960) today still is often cited in discussions about crowd psychology.  </w:t>
                </w:r>
              </w:p>
              <w:p w:rsidR="00D23611" w:rsidRDefault="00D23611" w:rsidP="00D23611">
                <w:pPr>
                  <w:rPr>
                    <w:lang w:val="en-US"/>
                  </w:rPr>
                </w:pPr>
              </w:p>
              <w:p w:rsidR="00D23611" w:rsidRDefault="00D23611" w:rsidP="00D23611">
                <w:pPr>
                  <w:rPr>
                    <w:lang w:val="en-US"/>
                  </w:rPr>
                </w:pPr>
                <w:r>
                  <w:rPr>
                    <w:lang w:val="en-US"/>
                  </w:rPr>
                  <w:t xml:space="preserve">Born in a family of Sephardic Jews in Ruse, a city on the Danube in Bulgaria, Canetti moved to Britain, and, after the death of his father in 1912, to Lausanne and then to Vienna. When he arrived there at the age of seven, Canetti already spoke four languages: Ladino or Judeo-Spanish (his mother tongue), Bulgarian, English and some French. After further moving to Zurich and Frankfurt, he returned to Vienna to gain a degree in chemistry (1929), but at that point already it had become abundantly clear that philosophy and literature were his real passions. Witnessing the growing threat of Nazism in Austria, which in 1938 eventually led to the </w:t>
                </w:r>
                <w:r w:rsidRPr="0028314B">
                  <w:rPr>
                    <w:i/>
                    <w:lang w:val="en-US"/>
                  </w:rPr>
                  <w:t>Anschluss</w:t>
                </w:r>
                <w:r>
                  <w:rPr>
                    <w:lang w:val="en-US"/>
                  </w:rPr>
                  <w:t xml:space="preserve"> of Austria to Germany, he moved back to Britain, where he settled until the 1970s, and then to</w:t>
                </w:r>
                <w:r w:rsidRPr="007C2F7B">
                  <w:rPr>
                    <w:lang w:val="en-US"/>
                  </w:rPr>
                  <w:t xml:space="preserve"> </w:t>
                </w:r>
                <w:r>
                  <w:rPr>
                    <w:lang w:val="en-US"/>
                  </w:rPr>
                  <w:t xml:space="preserve">Zürich, where he eventually died. </w:t>
                </w:r>
              </w:p>
              <w:p w:rsidR="00D23611" w:rsidRDefault="00D23611" w:rsidP="00D23611">
                <w:pPr>
                  <w:rPr>
                    <w:lang w:val="en-US"/>
                  </w:rPr>
                </w:pPr>
              </w:p>
              <w:p w:rsidR="00D23611" w:rsidRDefault="00D23611" w:rsidP="00D23611">
                <w:pPr>
                  <w:rPr>
                    <w:lang w:val="en-US"/>
                  </w:rPr>
                </w:pPr>
                <w:r>
                  <w:rPr>
                    <w:lang w:val="en-US"/>
                  </w:rPr>
                  <w:t>File: EliasCanneti.jpg</w:t>
                </w:r>
              </w:p>
              <w:p w:rsidR="00D23611" w:rsidRPr="00F36937" w:rsidRDefault="00D23611" w:rsidP="00D23611">
                <w:pPr>
                  <w:pStyle w:val="Caption"/>
                </w:pPr>
                <w:r>
                  <w:lastRenderedPageBreak/>
                  <w:t xml:space="preserve">Figure </w:t>
                </w:r>
                <w:r>
                  <w:fldChar w:fldCharType="begin"/>
                </w:r>
                <w:r>
                  <w:instrText xml:space="preserve"> SEQ Figure \* ARABIC </w:instrText>
                </w:r>
                <w:r>
                  <w:fldChar w:fldCharType="separate"/>
                </w:r>
                <w:r>
                  <w:rPr>
                    <w:noProof/>
                  </w:rPr>
                  <w:t>1</w:t>
                </w:r>
                <w:r>
                  <w:fldChar w:fldCharType="end"/>
                </w:r>
                <w:r>
                  <w:t xml:space="preserve"> Elias </w:t>
                </w:r>
                <w:proofErr w:type="spellStart"/>
                <w:r>
                  <w:t>Canneti</w:t>
                </w:r>
                <w:proofErr w:type="spellEnd"/>
              </w:p>
              <w:p w:rsidR="00D23611" w:rsidRDefault="00D23611" w:rsidP="00D23611">
                <w:pPr>
                  <w:rPr>
                    <w:lang w:val="en-US"/>
                  </w:rPr>
                </w:pPr>
                <w:r>
                  <w:rPr>
                    <w:lang w:val="en-US"/>
                  </w:rPr>
                  <w:t xml:space="preserve">Source: </w:t>
                </w:r>
                <w:r w:rsidRPr="00D23611">
                  <w:rPr>
                    <w:lang w:val="en-US"/>
                  </w:rPr>
                  <w:t>http://commons.wikimedia.org/wiki/File</w:t>
                </w:r>
                <w:proofErr w:type="gramStart"/>
                <w:r w:rsidRPr="00D23611">
                  <w:rPr>
                    <w:lang w:val="en-US"/>
                  </w:rPr>
                  <w:t>:Elias</w:t>
                </w:r>
                <w:proofErr w:type="gramEnd"/>
                <w:r w:rsidRPr="00D23611">
                  <w:rPr>
                    <w:lang w:val="en-US"/>
                  </w:rPr>
                  <w:t>_Canetti_2.jpg</w:t>
                </w:r>
              </w:p>
              <w:p w:rsidR="00D23611" w:rsidRDefault="00D23611" w:rsidP="00D23611">
                <w:pPr>
                  <w:rPr>
                    <w:lang w:val="en-US"/>
                  </w:rPr>
                </w:pPr>
              </w:p>
              <w:p w:rsidR="00D23611" w:rsidRDefault="00D23611" w:rsidP="00D23611">
                <w:pPr>
                  <w:rPr>
                    <w:lang w:val="en-US"/>
                  </w:rPr>
                </w:pPr>
                <w:r>
                  <w:rPr>
                    <w:lang w:val="en-US"/>
                  </w:rPr>
                  <w:t xml:space="preserve">Today, Canetti is widely known for his autobiographical writings, which often recount the first half of his life, such as </w:t>
                </w:r>
                <w:r w:rsidRPr="003D6F14">
                  <w:rPr>
                    <w:i/>
                    <w:lang w:val="en-US"/>
                  </w:rPr>
                  <w:t xml:space="preserve">Die </w:t>
                </w:r>
                <w:proofErr w:type="spellStart"/>
                <w:r w:rsidRPr="003D6F14">
                  <w:rPr>
                    <w:i/>
                    <w:lang w:val="en-US"/>
                  </w:rPr>
                  <w:t>Gerettete</w:t>
                </w:r>
                <w:proofErr w:type="spellEnd"/>
                <w:r w:rsidRPr="003D6F14">
                  <w:rPr>
                    <w:i/>
                    <w:lang w:val="en-US"/>
                  </w:rPr>
                  <w:t xml:space="preserve"> </w:t>
                </w:r>
                <w:proofErr w:type="spellStart"/>
                <w:r w:rsidRPr="003D6F14">
                  <w:rPr>
                    <w:i/>
                    <w:lang w:val="en-US"/>
                  </w:rPr>
                  <w:t>Zunge</w:t>
                </w:r>
                <w:proofErr w:type="spellEnd"/>
                <w:r>
                  <w:rPr>
                    <w:lang w:val="en-US"/>
                  </w:rPr>
                  <w:t xml:space="preserve"> (The Tongue Set Free, 1979), </w:t>
                </w:r>
                <w:r w:rsidRPr="003D6F14">
                  <w:rPr>
                    <w:i/>
                    <w:lang w:val="en-US"/>
                  </w:rPr>
                  <w:t xml:space="preserve">Die </w:t>
                </w:r>
                <w:proofErr w:type="spellStart"/>
                <w:r w:rsidRPr="003D6F14">
                  <w:rPr>
                    <w:i/>
                    <w:lang w:val="en-US"/>
                  </w:rPr>
                  <w:t>Fackel</w:t>
                </w:r>
                <w:proofErr w:type="spellEnd"/>
                <w:r w:rsidRPr="003D6F14">
                  <w:rPr>
                    <w:i/>
                    <w:lang w:val="en-US"/>
                  </w:rPr>
                  <w:t xml:space="preserve"> </w:t>
                </w:r>
                <w:proofErr w:type="spellStart"/>
                <w:r w:rsidRPr="003D6F14">
                  <w:rPr>
                    <w:i/>
                    <w:lang w:val="en-US"/>
                  </w:rPr>
                  <w:t>im</w:t>
                </w:r>
                <w:proofErr w:type="spellEnd"/>
                <w:r w:rsidRPr="003D6F14">
                  <w:rPr>
                    <w:i/>
                    <w:lang w:val="en-US"/>
                  </w:rPr>
                  <w:t xml:space="preserve"> </w:t>
                </w:r>
                <w:proofErr w:type="spellStart"/>
                <w:r w:rsidRPr="003D6F14">
                  <w:rPr>
                    <w:i/>
                    <w:lang w:val="en-US"/>
                  </w:rPr>
                  <w:t>Ohr</w:t>
                </w:r>
                <w:proofErr w:type="spellEnd"/>
                <w:r>
                  <w:rPr>
                    <w:lang w:val="en-US"/>
                  </w:rPr>
                  <w:t xml:space="preserve"> (The Torch in My Ear, 1980) and </w:t>
                </w:r>
                <w:r w:rsidRPr="003D6F14">
                  <w:rPr>
                    <w:i/>
                    <w:lang w:val="en-US"/>
                  </w:rPr>
                  <w:t xml:space="preserve">Das </w:t>
                </w:r>
                <w:proofErr w:type="spellStart"/>
                <w:r w:rsidRPr="003D6F14">
                  <w:rPr>
                    <w:i/>
                    <w:lang w:val="en-US"/>
                  </w:rPr>
                  <w:t>Augenspiel</w:t>
                </w:r>
                <w:proofErr w:type="spellEnd"/>
                <w:r>
                  <w:rPr>
                    <w:lang w:val="en-US"/>
                  </w:rPr>
                  <w:t xml:space="preserve"> (The Play of the Eyes, 1985). Valuable documents to anyone interested in Europe’s instable culture during the heydays of modernism, these autobiographical writings evince one of the main themes in Canetti’s work:  a fundamental disagreement with individuals who tend to universalize or impose their own, narrow views on the diversity of views and possibilities of mankind, Nazi rule of course being a notable instance of such practice. </w:t>
                </w:r>
              </w:p>
              <w:p w:rsidR="00D23611" w:rsidRDefault="00D23611" w:rsidP="00D23611">
                <w:pPr>
                  <w:rPr>
                    <w:lang w:val="en-US"/>
                  </w:rPr>
                </w:pPr>
              </w:p>
              <w:p w:rsidR="00D23611" w:rsidRDefault="00D23611" w:rsidP="00D23611">
                <w:pPr>
                  <w:rPr>
                    <w:lang w:val="en-US"/>
                  </w:rPr>
                </w:pPr>
                <w:r w:rsidRPr="004E3665">
                  <w:rPr>
                    <w:i/>
                    <w:lang w:val="en-US"/>
                  </w:rPr>
                  <w:t>Auto-da-</w:t>
                </w:r>
                <w:proofErr w:type="spellStart"/>
                <w:r w:rsidRPr="004E3665">
                  <w:rPr>
                    <w:i/>
                    <w:lang w:val="en-US"/>
                  </w:rPr>
                  <w:t>Fé</w:t>
                </w:r>
                <w:proofErr w:type="spellEnd"/>
                <w:r>
                  <w:rPr>
                    <w:lang w:val="en-US"/>
                  </w:rPr>
                  <w:t xml:space="preserve">, Canetti’s first publication, can also be read as an illustration of this basic theme.  The novel recounts the misadventure of one Herr </w:t>
                </w:r>
                <w:proofErr w:type="spellStart"/>
                <w:r>
                  <w:rPr>
                    <w:lang w:val="en-US"/>
                  </w:rPr>
                  <w:t>Doktor</w:t>
                </w:r>
                <w:proofErr w:type="spellEnd"/>
                <w:r>
                  <w:rPr>
                    <w:lang w:val="en-US"/>
                  </w:rPr>
                  <w:t xml:space="preserve"> Peter </w:t>
                </w:r>
                <w:proofErr w:type="spellStart"/>
                <w:r>
                  <w:rPr>
                    <w:lang w:val="en-US"/>
                  </w:rPr>
                  <w:t>Kien</w:t>
                </w:r>
                <w:proofErr w:type="spellEnd"/>
                <w:r>
                  <w:rPr>
                    <w:lang w:val="en-US"/>
                  </w:rPr>
                  <w:t xml:space="preserve">, a middle-aged philologist and Sinologist, who in an almost obsessive-compulsive fashion tries to avoid contamination through human interaction. Living as much as possible in his library, whose books form his real companions, </w:t>
                </w:r>
                <w:proofErr w:type="spellStart"/>
                <w:r>
                  <w:rPr>
                    <w:lang w:val="en-US"/>
                  </w:rPr>
                  <w:t>Kien’s</w:t>
                </w:r>
                <w:proofErr w:type="spellEnd"/>
                <w:r>
                  <w:rPr>
                    <w:lang w:val="en-US"/>
                  </w:rPr>
                  <w:t xml:space="preserve"> fear of others ultimately leads to his downfall, as his housekeeper-turned-spouse forces him out of his apartment, psychoanalysis fails and a blacksmith pushes him further into the depths of society. </w:t>
                </w:r>
              </w:p>
              <w:p w:rsidR="00D23611" w:rsidRDefault="00D23611" w:rsidP="00D23611">
                <w:pPr>
                  <w:rPr>
                    <w:lang w:val="en-US"/>
                  </w:rPr>
                </w:pPr>
              </w:p>
              <w:p w:rsidR="00D23611" w:rsidRDefault="00D23611" w:rsidP="00D23611">
                <w:pPr>
                  <w:rPr>
                    <w:lang w:val="en-US"/>
                  </w:rPr>
                </w:pPr>
                <w:r>
                  <w:rPr>
                    <w:lang w:val="en-US"/>
                  </w:rPr>
                  <w:t xml:space="preserve">If </w:t>
                </w:r>
                <w:r w:rsidRPr="00606F8E">
                  <w:rPr>
                    <w:i/>
                    <w:lang w:val="en-US"/>
                  </w:rPr>
                  <w:t>Auto-da-</w:t>
                </w:r>
                <w:proofErr w:type="spellStart"/>
                <w:r w:rsidRPr="00606F8E">
                  <w:rPr>
                    <w:i/>
                    <w:lang w:val="en-US"/>
                  </w:rPr>
                  <w:t>Fé</w:t>
                </w:r>
                <w:proofErr w:type="spellEnd"/>
                <w:r>
                  <w:rPr>
                    <w:lang w:val="en-US"/>
                  </w:rPr>
                  <w:t xml:space="preserve"> is a novel about a character who lives in fear of the rich diversity and potential of others, </w:t>
                </w:r>
                <w:r w:rsidRPr="00930ABC">
                  <w:rPr>
                    <w:i/>
                    <w:lang w:val="en-US"/>
                  </w:rPr>
                  <w:t>Crowds and Power</w:t>
                </w:r>
                <w:r>
                  <w:rPr>
                    <w:lang w:val="en-US"/>
                  </w:rPr>
                  <w:t>, deals with what happens when fear of others becomes its opposite: fear of isolation. This study looks at “paranoiac despots” who desire to rule the mob and at the mechanics of power at work whenever masses or “packs” of people obey their rule in a variety of cultures and periods. Notable for its unscholarly style, this book is often read as Canetti’s attempt to work through Central and Eastern Europe’s fate in the first half of the twentieth century as he lived and experienced it in person.</w:t>
                </w:r>
              </w:p>
              <w:p w:rsidR="00D23611" w:rsidRDefault="00D23611" w:rsidP="00C27FAB"/>
              <w:p w:rsidR="00D23611" w:rsidRDefault="00D23611" w:rsidP="00D23611">
                <w:pPr>
                  <w:pStyle w:val="Authornote"/>
                </w:pPr>
                <w:r>
                  <w:t>List of Works</w:t>
                </w:r>
              </w:p>
              <w:p w:rsidR="00D23611" w:rsidRDefault="00D23611" w:rsidP="00D23611">
                <w:pPr>
                  <w:pStyle w:val="Authornote"/>
                  <w:rPr>
                    <w:lang w:val="en-US"/>
                  </w:rPr>
                </w:pPr>
                <w:r w:rsidRPr="00784BCD">
                  <w:rPr>
                    <w:i/>
                    <w:lang w:val="en-US"/>
                  </w:rPr>
                  <w:t>Auto-da-</w:t>
                </w:r>
                <w:proofErr w:type="spellStart"/>
                <w:r w:rsidRPr="00784BCD">
                  <w:rPr>
                    <w:i/>
                    <w:lang w:val="en-US"/>
                  </w:rPr>
                  <w:t>Fé</w:t>
                </w:r>
                <w:proofErr w:type="spellEnd"/>
                <w:r>
                  <w:rPr>
                    <w:lang w:val="en-US"/>
                  </w:rPr>
                  <w:t xml:space="preserve"> (1935)</w:t>
                </w:r>
              </w:p>
              <w:p w:rsidR="00D23611" w:rsidRDefault="00D23611" w:rsidP="00D23611">
                <w:pPr>
                  <w:pStyle w:val="Authornote"/>
                  <w:rPr>
                    <w:lang w:val="en-US"/>
                  </w:rPr>
                </w:pPr>
                <w:r w:rsidRPr="00784BCD">
                  <w:rPr>
                    <w:i/>
                    <w:lang w:val="en-US"/>
                  </w:rPr>
                  <w:t>Crowds and Power</w:t>
                </w:r>
                <w:r>
                  <w:rPr>
                    <w:lang w:val="en-US"/>
                  </w:rPr>
                  <w:t xml:space="preserve"> (1960)</w:t>
                </w:r>
              </w:p>
              <w:p w:rsidR="00D23611" w:rsidRDefault="00D23611" w:rsidP="00D23611">
                <w:pPr>
                  <w:pStyle w:val="Authornote"/>
                  <w:rPr>
                    <w:lang w:val="en-US"/>
                  </w:rPr>
                </w:pPr>
                <w:r w:rsidRPr="00784BCD">
                  <w:rPr>
                    <w:i/>
                    <w:lang w:val="en-US"/>
                  </w:rPr>
                  <w:t>The Voices of Marrakesh</w:t>
                </w:r>
                <w:r>
                  <w:rPr>
                    <w:lang w:val="en-US"/>
                  </w:rPr>
                  <w:t xml:space="preserve"> (1968)</w:t>
                </w:r>
              </w:p>
              <w:p w:rsidR="00D23611" w:rsidRDefault="00D23611" w:rsidP="00D23611">
                <w:pPr>
                  <w:pStyle w:val="Authornote"/>
                  <w:rPr>
                    <w:lang w:val="en-US"/>
                  </w:rPr>
                </w:pPr>
                <w:r w:rsidRPr="00784BCD">
                  <w:rPr>
                    <w:i/>
                    <w:lang w:val="en-US"/>
                  </w:rPr>
                  <w:t>Kafka’s Other Trial</w:t>
                </w:r>
                <w:r>
                  <w:rPr>
                    <w:i/>
                    <w:lang w:val="en-US"/>
                  </w:rPr>
                  <w:t xml:space="preserve">: The Letters to </w:t>
                </w:r>
                <w:proofErr w:type="spellStart"/>
                <w:r>
                  <w:rPr>
                    <w:i/>
                    <w:lang w:val="en-US"/>
                  </w:rPr>
                  <w:t>Felice</w:t>
                </w:r>
                <w:proofErr w:type="spellEnd"/>
                <w:r>
                  <w:rPr>
                    <w:lang w:val="en-US"/>
                  </w:rPr>
                  <w:t xml:space="preserve"> (1969)</w:t>
                </w:r>
              </w:p>
              <w:p w:rsidR="00D23611" w:rsidRDefault="00D23611" w:rsidP="00D23611">
                <w:pPr>
                  <w:pStyle w:val="Authornote"/>
                  <w:rPr>
                    <w:lang w:val="en-US"/>
                  </w:rPr>
                </w:pPr>
                <w:r w:rsidRPr="001A52F3">
                  <w:rPr>
                    <w:i/>
                    <w:lang w:val="en-US"/>
                  </w:rPr>
                  <w:t>The Human Province</w:t>
                </w:r>
                <w:r>
                  <w:rPr>
                    <w:lang w:val="en-US"/>
                  </w:rPr>
                  <w:t xml:space="preserve"> (1972)</w:t>
                </w:r>
              </w:p>
              <w:p w:rsidR="00D23611" w:rsidRDefault="00D23611" w:rsidP="00D23611">
                <w:pPr>
                  <w:pStyle w:val="Authornote"/>
                  <w:rPr>
                    <w:lang w:val="en-US"/>
                  </w:rPr>
                </w:pPr>
                <w:r w:rsidRPr="00784BCD">
                  <w:rPr>
                    <w:i/>
                    <w:lang w:val="en-US"/>
                  </w:rPr>
                  <w:t>The Tongue Set Free</w:t>
                </w:r>
                <w:r>
                  <w:rPr>
                    <w:lang w:val="en-US"/>
                  </w:rPr>
                  <w:t xml:space="preserve"> (1977)</w:t>
                </w:r>
              </w:p>
              <w:p w:rsidR="00D23611" w:rsidRDefault="00D23611" w:rsidP="00D23611">
                <w:pPr>
                  <w:pStyle w:val="Authornote"/>
                  <w:rPr>
                    <w:lang w:val="en-US"/>
                  </w:rPr>
                </w:pPr>
                <w:r w:rsidRPr="00784BCD">
                  <w:rPr>
                    <w:i/>
                    <w:lang w:val="en-US"/>
                  </w:rPr>
                  <w:t>The Torch in My Ear</w:t>
                </w:r>
                <w:r>
                  <w:rPr>
                    <w:lang w:val="en-US"/>
                  </w:rPr>
                  <w:t xml:space="preserve"> (1980)</w:t>
                </w:r>
              </w:p>
              <w:p w:rsidR="00D23611" w:rsidRDefault="00D23611" w:rsidP="00D23611">
                <w:pPr>
                  <w:pStyle w:val="Authornote"/>
                  <w:rPr>
                    <w:lang w:val="en-US"/>
                  </w:rPr>
                </w:pPr>
                <w:r w:rsidRPr="00784BCD">
                  <w:rPr>
                    <w:i/>
                    <w:lang w:val="en-US"/>
                  </w:rPr>
                  <w:t>The Play of the Eyes</w:t>
                </w:r>
                <w:r>
                  <w:rPr>
                    <w:lang w:val="en-US"/>
                  </w:rPr>
                  <w:t xml:space="preserve"> (1985)</w:t>
                </w:r>
              </w:p>
              <w:p w:rsidR="003F0D73" w:rsidRPr="00D23611" w:rsidRDefault="00D23611" w:rsidP="00D23611">
                <w:pPr>
                  <w:pStyle w:val="Authornote"/>
                  <w:rPr>
                    <w:lang w:val="en-US"/>
                  </w:rPr>
                </w:pPr>
                <w:r w:rsidRPr="00784BCD">
                  <w:rPr>
                    <w:i/>
                    <w:lang w:val="en-US"/>
                  </w:rPr>
                  <w:t xml:space="preserve">Party in </w:t>
                </w:r>
                <w:r>
                  <w:rPr>
                    <w:i/>
                    <w:lang w:val="en-US"/>
                  </w:rPr>
                  <w:t xml:space="preserve">the </w:t>
                </w:r>
                <w:r w:rsidRPr="00784BCD">
                  <w:rPr>
                    <w:i/>
                    <w:lang w:val="en-US"/>
                  </w:rPr>
                  <w:t>Blitz</w:t>
                </w:r>
                <w:r>
                  <w:rPr>
                    <w:i/>
                    <w:lang w:val="en-US"/>
                  </w:rPr>
                  <w:t>: The English Years</w:t>
                </w:r>
                <w:r>
                  <w:rPr>
                    <w:lang w:val="en-US"/>
                  </w:rPr>
                  <w:t xml:space="preserve"> (posthumously, 2003)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9FFECBECA53E94A89A5B63350AA1DE3"/>
              </w:placeholder>
            </w:sdtPr>
            <w:sdtEndPr/>
            <w:sdtContent>
              <w:p w:rsidR="00D23611" w:rsidRDefault="00D23611" w:rsidP="00D23611"/>
              <w:p w:rsidR="00D23611" w:rsidRDefault="00D23611" w:rsidP="00D23611">
                <w:sdt>
                  <w:sdtPr>
                    <w:id w:val="-775490183"/>
                    <w:citation/>
                  </w:sdtPr>
                  <w:sdtContent>
                    <w:r>
                      <w:fldChar w:fldCharType="begin"/>
                    </w:r>
                    <w:r>
                      <w:rPr>
                        <w:lang w:val="en-US"/>
                      </w:rPr>
                      <w:instrText xml:space="preserve"> CITATION Don01 \l 1033 </w:instrText>
                    </w:r>
                    <w:r>
                      <w:fldChar w:fldCharType="separate"/>
                    </w:r>
                    <w:r>
                      <w:rPr>
                        <w:noProof/>
                        <w:lang w:val="en-US"/>
                      </w:rPr>
                      <w:t>(Donahue)</w:t>
                    </w:r>
                    <w:r>
                      <w:fldChar w:fldCharType="end"/>
                    </w:r>
                  </w:sdtContent>
                </w:sdt>
              </w:p>
              <w:p w:rsidR="00D23611" w:rsidRDefault="00D23611" w:rsidP="00D23611"/>
              <w:p w:rsidR="00D23611" w:rsidRDefault="00D23611" w:rsidP="00D23611">
                <w:sdt>
                  <w:sdtPr>
                    <w:id w:val="2015955756"/>
                    <w:citation/>
                  </w:sdtPr>
                  <w:sdtContent>
                    <w:r>
                      <w:fldChar w:fldCharType="begin"/>
                    </w:r>
                    <w:r>
                      <w:rPr>
                        <w:lang w:val="en-US"/>
                      </w:rPr>
                      <w:instrText xml:space="preserve"> CITATION Law91 \l 1033 </w:instrText>
                    </w:r>
                    <w:r>
                      <w:fldChar w:fldCharType="separate"/>
                    </w:r>
                    <w:r>
                      <w:rPr>
                        <w:noProof/>
                        <w:lang w:val="en-US"/>
                      </w:rPr>
                      <w:t>(Lawson)</w:t>
                    </w:r>
                    <w:r>
                      <w:fldChar w:fldCharType="end"/>
                    </w:r>
                  </w:sdtContent>
                </w:sdt>
              </w:p>
              <w:p w:rsidR="00D23611" w:rsidRDefault="00D23611" w:rsidP="00D23611"/>
              <w:p w:rsidR="003235A7" w:rsidRDefault="00D23611" w:rsidP="00D23611">
                <w:pPr>
                  <w:keepNext/>
                </w:pPr>
                <w:sdt>
                  <w:sdtPr>
                    <w:id w:val="1767568602"/>
                    <w:citation/>
                  </w:sdtPr>
                  <w:sdtContent>
                    <w:r>
                      <w:fldChar w:fldCharType="begin"/>
                    </w:r>
                    <w:r>
                      <w:rPr>
                        <w:lang w:val="en-US"/>
                      </w:rPr>
                      <w:instrText xml:space="preserve"> CITATION Lor09 \l 1033 </w:instrText>
                    </w:r>
                    <w:r>
                      <w:fldChar w:fldCharType="separate"/>
                    </w:r>
                    <w:r>
                      <w:rPr>
                        <w:noProof/>
                        <w:lang w:val="en-US"/>
                      </w:rPr>
                      <w:t>(Lorenz)</w:t>
                    </w:r>
                    <w:r>
                      <w:fldChar w:fldCharType="end"/>
                    </w:r>
                  </w:sdtContent>
                </w:sdt>
              </w:p>
            </w:sdtContent>
          </w:sdt>
        </w:tc>
      </w:tr>
    </w:tbl>
    <w:p w:rsidR="00C27FAB" w:rsidRPr="00F36937" w:rsidRDefault="00C27FAB" w:rsidP="00D23611">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611" w:rsidRDefault="00D23611" w:rsidP="007A0D55">
      <w:pPr>
        <w:spacing w:after="0" w:line="240" w:lineRule="auto"/>
      </w:pPr>
      <w:r>
        <w:separator/>
      </w:r>
    </w:p>
  </w:endnote>
  <w:endnote w:type="continuationSeparator" w:id="0">
    <w:p w:rsidR="00D23611" w:rsidRDefault="00D2361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611" w:rsidRDefault="00D23611" w:rsidP="007A0D55">
      <w:pPr>
        <w:spacing w:after="0" w:line="240" w:lineRule="auto"/>
      </w:pPr>
      <w:r>
        <w:separator/>
      </w:r>
    </w:p>
  </w:footnote>
  <w:footnote w:type="continuationSeparator" w:id="0">
    <w:p w:rsidR="00D23611" w:rsidRDefault="00D2361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1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23611"/>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2361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3611"/>
    <w:rPr>
      <w:rFonts w:ascii="Lucida Grande" w:hAnsi="Lucida Grande" w:cs="Lucida Grande"/>
      <w:sz w:val="18"/>
      <w:szCs w:val="18"/>
    </w:rPr>
  </w:style>
  <w:style w:type="paragraph" w:styleId="Caption">
    <w:name w:val="caption"/>
    <w:basedOn w:val="Normal"/>
    <w:next w:val="Normal"/>
    <w:uiPriority w:val="35"/>
    <w:semiHidden/>
    <w:qFormat/>
    <w:rsid w:val="00D23611"/>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D2361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2361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3611"/>
    <w:rPr>
      <w:rFonts w:ascii="Lucida Grande" w:hAnsi="Lucida Grande" w:cs="Lucida Grande"/>
      <w:sz w:val="18"/>
      <w:szCs w:val="18"/>
    </w:rPr>
  </w:style>
  <w:style w:type="paragraph" w:styleId="Caption">
    <w:name w:val="caption"/>
    <w:basedOn w:val="Normal"/>
    <w:next w:val="Normal"/>
    <w:uiPriority w:val="35"/>
    <w:semiHidden/>
    <w:qFormat/>
    <w:rsid w:val="00D23611"/>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D236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FB559E64913F4BBD8BE94F58AD8553"/>
        <w:category>
          <w:name w:val="General"/>
          <w:gallery w:val="placeholder"/>
        </w:category>
        <w:types>
          <w:type w:val="bbPlcHdr"/>
        </w:types>
        <w:behaviors>
          <w:behavior w:val="content"/>
        </w:behaviors>
        <w:guid w:val="{9D147618-5B0C-2649-8442-E0F7C2AE2902}"/>
      </w:docPartPr>
      <w:docPartBody>
        <w:p w:rsidR="00000000" w:rsidRDefault="004E117A">
          <w:pPr>
            <w:pStyle w:val="B6FB559E64913F4BBD8BE94F58AD8553"/>
          </w:pPr>
          <w:r w:rsidRPr="00CC586D">
            <w:rPr>
              <w:rStyle w:val="PlaceholderText"/>
              <w:b/>
              <w:color w:val="FFFFFF" w:themeColor="background1"/>
            </w:rPr>
            <w:t>[Salutation]</w:t>
          </w:r>
        </w:p>
      </w:docPartBody>
    </w:docPart>
    <w:docPart>
      <w:docPartPr>
        <w:name w:val="9C28967C44EEA345B26D24D13CED8DA9"/>
        <w:category>
          <w:name w:val="General"/>
          <w:gallery w:val="placeholder"/>
        </w:category>
        <w:types>
          <w:type w:val="bbPlcHdr"/>
        </w:types>
        <w:behaviors>
          <w:behavior w:val="content"/>
        </w:behaviors>
        <w:guid w:val="{9D2397C2-D9EC-A44E-900F-CA4A4EB229B4}"/>
      </w:docPartPr>
      <w:docPartBody>
        <w:p w:rsidR="00000000" w:rsidRDefault="004E117A">
          <w:pPr>
            <w:pStyle w:val="9C28967C44EEA345B26D24D13CED8DA9"/>
          </w:pPr>
          <w:r>
            <w:rPr>
              <w:rStyle w:val="PlaceholderText"/>
            </w:rPr>
            <w:t>[First name]</w:t>
          </w:r>
        </w:p>
      </w:docPartBody>
    </w:docPart>
    <w:docPart>
      <w:docPartPr>
        <w:name w:val="07AD09D19398FD4689F61DD2EECE0D2F"/>
        <w:category>
          <w:name w:val="General"/>
          <w:gallery w:val="placeholder"/>
        </w:category>
        <w:types>
          <w:type w:val="bbPlcHdr"/>
        </w:types>
        <w:behaviors>
          <w:behavior w:val="content"/>
        </w:behaviors>
        <w:guid w:val="{8B635CFB-5C08-DF46-8AD7-082BE7EE6E44}"/>
      </w:docPartPr>
      <w:docPartBody>
        <w:p w:rsidR="00000000" w:rsidRDefault="004E117A">
          <w:pPr>
            <w:pStyle w:val="07AD09D19398FD4689F61DD2EECE0D2F"/>
          </w:pPr>
          <w:r>
            <w:rPr>
              <w:rStyle w:val="PlaceholderText"/>
            </w:rPr>
            <w:t>[Middle name]</w:t>
          </w:r>
        </w:p>
      </w:docPartBody>
    </w:docPart>
    <w:docPart>
      <w:docPartPr>
        <w:name w:val="23AEA9ABAD79324083D0D9885081032E"/>
        <w:category>
          <w:name w:val="General"/>
          <w:gallery w:val="placeholder"/>
        </w:category>
        <w:types>
          <w:type w:val="bbPlcHdr"/>
        </w:types>
        <w:behaviors>
          <w:behavior w:val="content"/>
        </w:behaviors>
        <w:guid w:val="{DCB130B2-AA25-FE47-9B1C-963315BBAD2D}"/>
      </w:docPartPr>
      <w:docPartBody>
        <w:p w:rsidR="00000000" w:rsidRDefault="004E117A">
          <w:pPr>
            <w:pStyle w:val="23AEA9ABAD79324083D0D9885081032E"/>
          </w:pPr>
          <w:r>
            <w:rPr>
              <w:rStyle w:val="PlaceholderText"/>
            </w:rPr>
            <w:t>[Last name]</w:t>
          </w:r>
        </w:p>
      </w:docPartBody>
    </w:docPart>
    <w:docPart>
      <w:docPartPr>
        <w:name w:val="137B776C9B309F46B76311D0651B65C3"/>
        <w:category>
          <w:name w:val="General"/>
          <w:gallery w:val="placeholder"/>
        </w:category>
        <w:types>
          <w:type w:val="bbPlcHdr"/>
        </w:types>
        <w:behaviors>
          <w:behavior w:val="content"/>
        </w:behaviors>
        <w:guid w:val="{58C24496-2FBE-384F-844B-D82DF091B00C}"/>
      </w:docPartPr>
      <w:docPartBody>
        <w:p w:rsidR="00000000" w:rsidRDefault="004E117A">
          <w:pPr>
            <w:pStyle w:val="137B776C9B309F46B76311D0651B65C3"/>
          </w:pPr>
          <w:r>
            <w:rPr>
              <w:rStyle w:val="PlaceholderText"/>
            </w:rPr>
            <w:t>[Enter your biography]</w:t>
          </w:r>
        </w:p>
      </w:docPartBody>
    </w:docPart>
    <w:docPart>
      <w:docPartPr>
        <w:name w:val="5EA3C52EEE24794A990B0D665FB14B43"/>
        <w:category>
          <w:name w:val="General"/>
          <w:gallery w:val="placeholder"/>
        </w:category>
        <w:types>
          <w:type w:val="bbPlcHdr"/>
        </w:types>
        <w:behaviors>
          <w:behavior w:val="content"/>
        </w:behaviors>
        <w:guid w:val="{A07B4627-7E72-2147-8264-EDA5DFC61802}"/>
      </w:docPartPr>
      <w:docPartBody>
        <w:p w:rsidR="00000000" w:rsidRDefault="004E117A">
          <w:pPr>
            <w:pStyle w:val="5EA3C52EEE24794A990B0D665FB14B43"/>
          </w:pPr>
          <w:r>
            <w:rPr>
              <w:rStyle w:val="PlaceholderText"/>
            </w:rPr>
            <w:t>[Enter the institution with which you are affiliated]</w:t>
          </w:r>
        </w:p>
      </w:docPartBody>
    </w:docPart>
    <w:docPart>
      <w:docPartPr>
        <w:name w:val="4F2DCFD9F3AEA34EBC2A0228F98165EA"/>
        <w:category>
          <w:name w:val="General"/>
          <w:gallery w:val="placeholder"/>
        </w:category>
        <w:types>
          <w:type w:val="bbPlcHdr"/>
        </w:types>
        <w:behaviors>
          <w:behavior w:val="content"/>
        </w:behaviors>
        <w:guid w:val="{05BD54A5-AAAE-4849-8057-BB77F60E4301}"/>
      </w:docPartPr>
      <w:docPartBody>
        <w:p w:rsidR="00000000" w:rsidRDefault="004E117A">
          <w:pPr>
            <w:pStyle w:val="4F2DCFD9F3AEA34EBC2A0228F98165EA"/>
          </w:pPr>
          <w:r w:rsidRPr="00EF74F7">
            <w:rPr>
              <w:b/>
              <w:color w:val="808080" w:themeColor="background1" w:themeShade="80"/>
            </w:rPr>
            <w:t>[Enter the headword for your article]</w:t>
          </w:r>
        </w:p>
      </w:docPartBody>
    </w:docPart>
    <w:docPart>
      <w:docPartPr>
        <w:name w:val="73520ECB0890854AB5F116F16F90A32D"/>
        <w:category>
          <w:name w:val="General"/>
          <w:gallery w:val="placeholder"/>
        </w:category>
        <w:types>
          <w:type w:val="bbPlcHdr"/>
        </w:types>
        <w:behaviors>
          <w:behavior w:val="content"/>
        </w:behaviors>
        <w:guid w:val="{54398AB9-698C-E449-99D3-C1CF147F0E4C}"/>
      </w:docPartPr>
      <w:docPartBody>
        <w:p w:rsidR="00000000" w:rsidRDefault="004E117A">
          <w:pPr>
            <w:pStyle w:val="73520ECB0890854AB5F116F16F90A32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FCCF30E8632EB48A6FA8D5E40FB5F84"/>
        <w:category>
          <w:name w:val="General"/>
          <w:gallery w:val="placeholder"/>
        </w:category>
        <w:types>
          <w:type w:val="bbPlcHdr"/>
        </w:types>
        <w:behaviors>
          <w:behavior w:val="content"/>
        </w:behaviors>
        <w:guid w:val="{1DF2CC10-2C93-5F4A-85EF-8E5CE49D5E9F}"/>
      </w:docPartPr>
      <w:docPartBody>
        <w:p w:rsidR="00000000" w:rsidRDefault="004E117A">
          <w:pPr>
            <w:pStyle w:val="AFCCF30E8632EB48A6FA8D5E40FB5F8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E3D74CAF28E148B0E062A6E9422961"/>
        <w:category>
          <w:name w:val="General"/>
          <w:gallery w:val="placeholder"/>
        </w:category>
        <w:types>
          <w:type w:val="bbPlcHdr"/>
        </w:types>
        <w:behaviors>
          <w:behavior w:val="content"/>
        </w:behaviors>
        <w:guid w:val="{A28D9453-A0F6-274C-838C-759D2276F62F}"/>
      </w:docPartPr>
      <w:docPartBody>
        <w:p w:rsidR="00000000" w:rsidRDefault="004E117A">
          <w:pPr>
            <w:pStyle w:val="44E3D74CAF28E148B0E062A6E942296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9FFECBECA53E94A89A5B63350AA1DE3"/>
        <w:category>
          <w:name w:val="General"/>
          <w:gallery w:val="placeholder"/>
        </w:category>
        <w:types>
          <w:type w:val="bbPlcHdr"/>
        </w:types>
        <w:behaviors>
          <w:behavior w:val="content"/>
        </w:behaviors>
        <w:guid w:val="{EF656190-933E-6543-B485-6A8235C16B68}"/>
      </w:docPartPr>
      <w:docPartBody>
        <w:p w:rsidR="00000000" w:rsidRDefault="004E117A">
          <w:pPr>
            <w:pStyle w:val="99FFECBECA53E94A89A5B63350AA1DE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6FB559E64913F4BBD8BE94F58AD8553">
    <w:name w:val="B6FB559E64913F4BBD8BE94F58AD8553"/>
  </w:style>
  <w:style w:type="paragraph" w:customStyle="1" w:styleId="9C28967C44EEA345B26D24D13CED8DA9">
    <w:name w:val="9C28967C44EEA345B26D24D13CED8DA9"/>
  </w:style>
  <w:style w:type="paragraph" w:customStyle="1" w:styleId="07AD09D19398FD4689F61DD2EECE0D2F">
    <w:name w:val="07AD09D19398FD4689F61DD2EECE0D2F"/>
  </w:style>
  <w:style w:type="paragraph" w:customStyle="1" w:styleId="23AEA9ABAD79324083D0D9885081032E">
    <w:name w:val="23AEA9ABAD79324083D0D9885081032E"/>
  </w:style>
  <w:style w:type="paragraph" w:customStyle="1" w:styleId="137B776C9B309F46B76311D0651B65C3">
    <w:name w:val="137B776C9B309F46B76311D0651B65C3"/>
  </w:style>
  <w:style w:type="paragraph" w:customStyle="1" w:styleId="5EA3C52EEE24794A990B0D665FB14B43">
    <w:name w:val="5EA3C52EEE24794A990B0D665FB14B43"/>
  </w:style>
  <w:style w:type="paragraph" w:customStyle="1" w:styleId="4F2DCFD9F3AEA34EBC2A0228F98165EA">
    <w:name w:val="4F2DCFD9F3AEA34EBC2A0228F98165EA"/>
  </w:style>
  <w:style w:type="paragraph" w:customStyle="1" w:styleId="73520ECB0890854AB5F116F16F90A32D">
    <w:name w:val="73520ECB0890854AB5F116F16F90A32D"/>
  </w:style>
  <w:style w:type="paragraph" w:customStyle="1" w:styleId="AFCCF30E8632EB48A6FA8D5E40FB5F84">
    <w:name w:val="AFCCF30E8632EB48A6FA8D5E40FB5F84"/>
  </w:style>
  <w:style w:type="paragraph" w:customStyle="1" w:styleId="44E3D74CAF28E148B0E062A6E9422961">
    <w:name w:val="44E3D74CAF28E148B0E062A6E9422961"/>
  </w:style>
  <w:style w:type="paragraph" w:customStyle="1" w:styleId="99FFECBECA53E94A89A5B63350AA1DE3">
    <w:name w:val="99FFECBECA53E94A89A5B63350AA1D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6FB559E64913F4BBD8BE94F58AD8553">
    <w:name w:val="B6FB559E64913F4BBD8BE94F58AD8553"/>
  </w:style>
  <w:style w:type="paragraph" w:customStyle="1" w:styleId="9C28967C44EEA345B26D24D13CED8DA9">
    <w:name w:val="9C28967C44EEA345B26D24D13CED8DA9"/>
  </w:style>
  <w:style w:type="paragraph" w:customStyle="1" w:styleId="07AD09D19398FD4689F61DD2EECE0D2F">
    <w:name w:val="07AD09D19398FD4689F61DD2EECE0D2F"/>
  </w:style>
  <w:style w:type="paragraph" w:customStyle="1" w:styleId="23AEA9ABAD79324083D0D9885081032E">
    <w:name w:val="23AEA9ABAD79324083D0D9885081032E"/>
  </w:style>
  <w:style w:type="paragraph" w:customStyle="1" w:styleId="137B776C9B309F46B76311D0651B65C3">
    <w:name w:val="137B776C9B309F46B76311D0651B65C3"/>
  </w:style>
  <w:style w:type="paragraph" w:customStyle="1" w:styleId="5EA3C52EEE24794A990B0D665FB14B43">
    <w:name w:val="5EA3C52EEE24794A990B0D665FB14B43"/>
  </w:style>
  <w:style w:type="paragraph" w:customStyle="1" w:styleId="4F2DCFD9F3AEA34EBC2A0228F98165EA">
    <w:name w:val="4F2DCFD9F3AEA34EBC2A0228F98165EA"/>
  </w:style>
  <w:style w:type="paragraph" w:customStyle="1" w:styleId="73520ECB0890854AB5F116F16F90A32D">
    <w:name w:val="73520ECB0890854AB5F116F16F90A32D"/>
  </w:style>
  <w:style w:type="paragraph" w:customStyle="1" w:styleId="AFCCF30E8632EB48A6FA8D5E40FB5F84">
    <w:name w:val="AFCCF30E8632EB48A6FA8D5E40FB5F84"/>
  </w:style>
  <w:style w:type="paragraph" w:customStyle="1" w:styleId="44E3D74CAF28E148B0E062A6E9422961">
    <w:name w:val="44E3D74CAF28E148B0E062A6E9422961"/>
  </w:style>
  <w:style w:type="paragraph" w:customStyle="1" w:styleId="99FFECBECA53E94A89A5B63350AA1DE3">
    <w:name w:val="99FFECBECA53E94A89A5B63350AA1D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Don01</b:Tag>
    <b:SourceType>Book</b:SourceType>
    <b:Guid>{0ED79A03-485D-C344-998D-E6D121AB12AB}</b:Guid>
    <b:Author>
      <b:Author>
        <b:NameList>
          <b:Person>
            <b:Last>Donahue</b:Last>
            <b:First>W.</b:First>
            <b:Middle>C.</b:Middle>
          </b:Person>
        </b:NameList>
      </b:Author>
    </b:Author>
    <b:Title>The End of Modernism: Elias Canetti’s Auto-da-Fé</b:Title>
    <b:Publisher>University of North Carolina Press</b:Publisher>
    <b:City>Chapel Hill</b:City>
    <b:Year>2001</b:Year>
    <b:StateProvince>NC</b:StateProvince>
    <b:RefOrder>1</b:RefOrder>
  </b:Source>
  <b:Source>
    <b:Tag>Law91</b:Tag>
    <b:SourceType>Book</b:SourceType>
    <b:Guid>{A030A5E1-EDC3-8E4A-AE4E-6EAD5F32C84E}</b:Guid>
    <b:Author>
      <b:Author>
        <b:NameList>
          <b:Person>
            <b:Last>Lawson</b:Last>
            <b:First>R.</b:First>
          </b:Person>
        </b:NameList>
      </b:Author>
    </b:Author>
    <b:Title>Understanding Elias Canetti</b:Title>
    <b:City>Chapel Hill</b:City>
    <b:StateProvince>NC</b:StateProvince>
    <b:Publisher>University of North Carolina Press</b:Publisher>
    <b:Year>1991</b:Year>
    <b:RefOrder>2</b:RefOrder>
  </b:Source>
  <b:Source>
    <b:Tag>Lor09</b:Tag>
    <b:SourceType>Book</b:SourceType>
    <b:Guid>{A72C3395-56CC-164A-9B67-B6BB240CBA25}</b:Guid>
    <b:Author>
      <b:Author>
        <b:NameList>
          <b:Person>
            <b:Last>Lorenz</b:Last>
            <b:First>D.</b:First>
          </b:Person>
        </b:NameList>
      </b:Author>
    </b:Author>
    <b:Title>A Companion to the Works of Elias Canetti</b:Title>
    <b:City>London</b:City>
    <b:Publisher>Camden House</b:Publisher>
    <b:Year>2009</b:Year>
    <b:RefOrder>3</b:RefOrder>
  </b:Source>
</b:Sources>
</file>

<file path=customXml/itemProps1.xml><?xml version="1.0" encoding="utf-8"?>
<ds:datastoreItem xmlns:ds="http://schemas.openxmlformats.org/officeDocument/2006/customXml" ds:itemID="{84971328-B08C-D44F-A550-2E8BCBADE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798</Words>
  <Characters>4552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2015-11-23T06:20:00Z</dcterms:created>
  <dcterms:modified xsi:type="dcterms:W3CDTF">2015-11-23T06:29:00Z</dcterms:modified>
</cp:coreProperties>
</file>