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2B43B46" w14:textId="77777777">
        <w:tc>
          <w:tcPr>
            <w:tcW w:w="491" w:type="dxa"/>
            <w:vMerge w:val="restart"/>
            <w:shd w:val="clear" w:color="auto" w:fill="A6A6A6" w:themeFill="background1" w:themeFillShade="A6"/>
            <w:textDirection w:val="btLr"/>
          </w:tcPr>
          <w:p w14:paraId="5109E68F" w14:textId="77777777" w:rsidR="00B574C9" w:rsidRPr="00CC586D" w:rsidRDefault="003B3C0B"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0E0D404EE73544A04B431D99661BF8"/>
            </w:placeholder>
            <w:showingPlcHdr/>
            <w:dropDownList>
              <w:listItem w:displayText="Dr." w:value="Dr."/>
              <w:listItem w:displayText="Prof." w:value="Prof."/>
            </w:dropDownList>
          </w:sdtPr>
          <w:sdtEndPr/>
          <w:sdtContent>
            <w:tc>
              <w:tcPr>
                <w:tcW w:w="1259" w:type="dxa"/>
              </w:tcPr>
              <w:p w14:paraId="03DED9FD" w14:textId="77777777" w:rsidR="00B574C9" w:rsidRPr="00CC586D" w:rsidRDefault="003B3C0B"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BC7AA071EC0FD44BFB17C45618DAA7B"/>
            </w:placeholder>
            <w:text/>
          </w:sdtPr>
          <w:sdtEndPr/>
          <w:sdtContent>
            <w:tc>
              <w:tcPr>
                <w:tcW w:w="2073" w:type="dxa"/>
              </w:tcPr>
              <w:p w14:paraId="175D70D1" w14:textId="77777777" w:rsidR="00B574C9" w:rsidRDefault="00982511" w:rsidP="00982511">
                <w:r>
                  <w:t>Milton</w:t>
                </w:r>
              </w:p>
            </w:tc>
          </w:sdtContent>
        </w:sdt>
        <w:sdt>
          <w:sdtPr>
            <w:alias w:val="Middle name"/>
            <w:tag w:val="authorMiddleName"/>
            <w:id w:val="-2076034781"/>
            <w:placeholder>
              <w:docPart w:val="DCFAAE438219A8408B927DD5905F8D5F"/>
            </w:placeholder>
            <w:showingPlcHdr/>
            <w:text/>
          </w:sdtPr>
          <w:sdtEndPr/>
          <w:sdtContent>
            <w:tc>
              <w:tcPr>
                <w:tcW w:w="2551" w:type="dxa"/>
              </w:tcPr>
              <w:p w14:paraId="76BDB459" w14:textId="77777777" w:rsidR="00B574C9" w:rsidRDefault="003B3C0B" w:rsidP="00922950">
                <w:r>
                  <w:rPr>
                    <w:rStyle w:val="PlaceholderText"/>
                  </w:rPr>
                  <w:t>[Middle name]</w:t>
                </w:r>
              </w:p>
            </w:tc>
          </w:sdtContent>
        </w:sdt>
        <w:sdt>
          <w:sdtPr>
            <w:alias w:val="Last name"/>
            <w:tag w:val="authorLastName"/>
            <w:id w:val="-1088529830"/>
            <w:placeholder>
              <w:docPart w:val="3620FEE1DC8EB74987334CA484CB4CA5"/>
            </w:placeholder>
            <w:text/>
          </w:sdtPr>
          <w:sdtEndPr/>
          <w:sdtContent>
            <w:tc>
              <w:tcPr>
                <w:tcW w:w="2642" w:type="dxa"/>
              </w:tcPr>
              <w:p w14:paraId="66BCC3E6" w14:textId="77777777" w:rsidR="00B574C9" w:rsidRDefault="00982511" w:rsidP="00982511">
                <w:proofErr w:type="spellStart"/>
                <w:r>
                  <w:t>Loayza</w:t>
                </w:r>
                <w:proofErr w:type="spellEnd"/>
              </w:p>
            </w:tc>
          </w:sdtContent>
        </w:sdt>
      </w:tr>
      <w:tr w:rsidR="00B574C9" w14:paraId="19A4A06A" w14:textId="77777777">
        <w:trPr>
          <w:trHeight w:val="986"/>
        </w:trPr>
        <w:tc>
          <w:tcPr>
            <w:tcW w:w="491" w:type="dxa"/>
            <w:vMerge/>
            <w:shd w:val="clear" w:color="auto" w:fill="A6A6A6" w:themeFill="background1" w:themeFillShade="A6"/>
          </w:tcPr>
          <w:p w14:paraId="0752DBC7" w14:textId="77777777" w:rsidR="00B574C9" w:rsidRPr="001A6A06" w:rsidRDefault="00431DC9" w:rsidP="00CF1542">
            <w:pPr>
              <w:jc w:val="center"/>
              <w:rPr>
                <w:b/>
                <w:color w:val="FFFFFF" w:themeColor="background1"/>
              </w:rPr>
            </w:pPr>
          </w:p>
        </w:tc>
        <w:sdt>
          <w:sdtPr>
            <w:alias w:val="Biography"/>
            <w:tag w:val="authorBiography"/>
            <w:id w:val="938807824"/>
            <w:placeholder>
              <w:docPart w:val="32F66FCDE60DD6498739D1B68226C782"/>
            </w:placeholder>
            <w:showingPlcHdr/>
          </w:sdtPr>
          <w:sdtEndPr/>
          <w:sdtContent>
            <w:tc>
              <w:tcPr>
                <w:tcW w:w="8525" w:type="dxa"/>
                <w:gridSpan w:val="4"/>
              </w:tcPr>
              <w:p w14:paraId="10C611C6" w14:textId="77777777" w:rsidR="00B574C9" w:rsidRDefault="003B3C0B" w:rsidP="00922950">
                <w:r>
                  <w:rPr>
                    <w:rStyle w:val="PlaceholderText"/>
                  </w:rPr>
                  <w:t>[Enter your biography]</w:t>
                </w:r>
              </w:p>
            </w:tc>
          </w:sdtContent>
        </w:sdt>
      </w:tr>
      <w:tr w:rsidR="00B574C9" w14:paraId="6E64DFC4" w14:textId="77777777">
        <w:trPr>
          <w:trHeight w:val="986"/>
        </w:trPr>
        <w:tc>
          <w:tcPr>
            <w:tcW w:w="491" w:type="dxa"/>
            <w:vMerge/>
            <w:shd w:val="clear" w:color="auto" w:fill="A6A6A6" w:themeFill="background1" w:themeFillShade="A6"/>
          </w:tcPr>
          <w:p w14:paraId="5BAAC0EC" w14:textId="77777777" w:rsidR="00B574C9" w:rsidRPr="001A6A06" w:rsidRDefault="00431DC9" w:rsidP="00CF1542">
            <w:pPr>
              <w:jc w:val="center"/>
              <w:rPr>
                <w:b/>
                <w:color w:val="FFFFFF" w:themeColor="background1"/>
              </w:rPr>
            </w:pPr>
          </w:p>
        </w:tc>
        <w:sdt>
          <w:sdtPr>
            <w:alias w:val="Affiliation"/>
            <w:tag w:val="affiliation"/>
            <w:id w:val="2012937915"/>
            <w:placeholder>
              <w:docPart w:val="03537D30CC4FA643ABB30C8B70E535CA"/>
            </w:placeholder>
            <w:text/>
          </w:sdtPr>
          <w:sdtEndPr/>
          <w:sdtContent>
            <w:tc>
              <w:tcPr>
                <w:tcW w:w="8525" w:type="dxa"/>
                <w:gridSpan w:val="4"/>
              </w:tcPr>
              <w:p w14:paraId="40B80356" w14:textId="77777777" w:rsidR="00B574C9" w:rsidRDefault="00982511" w:rsidP="00982511">
                <w:r w:rsidRPr="00982511">
                  <w:rPr>
                    <w:lang w:val="en-US"/>
                  </w:rPr>
                  <w:t>SUNY-Oswego</w:t>
                </w:r>
              </w:p>
            </w:tc>
          </w:sdtContent>
        </w:sdt>
      </w:tr>
    </w:tbl>
    <w:p w14:paraId="2EE96721" w14:textId="77777777" w:rsidR="003D3579" w:rsidRDefault="00431DC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AB6763" w14:textId="77777777">
        <w:tc>
          <w:tcPr>
            <w:tcW w:w="9016" w:type="dxa"/>
            <w:shd w:val="clear" w:color="auto" w:fill="A6A6A6" w:themeFill="background1" w:themeFillShade="A6"/>
            <w:tcMar>
              <w:top w:w="113" w:type="dxa"/>
              <w:bottom w:w="113" w:type="dxa"/>
            </w:tcMar>
          </w:tcPr>
          <w:p w14:paraId="4B261974" w14:textId="77777777" w:rsidR="00244BB0" w:rsidRPr="00244BB0" w:rsidRDefault="003B3C0B" w:rsidP="00244BB0">
            <w:pPr>
              <w:jc w:val="center"/>
              <w:rPr>
                <w:b/>
                <w:color w:val="FFFFFF" w:themeColor="background1"/>
              </w:rPr>
            </w:pPr>
            <w:r>
              <w:rPr>
                <w:b/>
                <w:color w:val="FFFFFF" w:themeColor="background1"/>
              </w:rPr>
              <w:t>Your article</w:t>
            </w:r>
          </w:p>
        </w:tc>
      </w:tr>
      <w:tr w:rsidR="003F0D73" w14:paraId="3CA31E42" w14:textId="77777777">
        <w:sdt>
          <w:sdtPr>
            <w:rPr>
              <w:b/>
            </w:rPr>
            <w:alias w:val="Article headword"/>
            <w:tag w:val="articleHeadword"/>
            <w:id w:val="-361440020"/>
            <w:placeholder>
              <w:docPart w:val="3C151D20B4880049A7E7A4FEE80376F7"/>
            </w:placeholder>
            <w:text/>
          </w:sdtPr>
          <w:sdtEndPr/>
          <w:sdtContent>
            <w:tc>
              <w:tcPr>
                <w:tcW w:w="9016" w:type="dxa"/>
                <w:tcMar>
                  <w:top w:w="113" w:type="dxa"/>
                  <w:bottom w:w="113" w:type="dxa"/>
                </w:tcMar>
              </w:tcPr>
              <w:p w14:paraId="3DA9F830" w14:textId="77777777" w:rsidR="003F0D73" w:rsidRPr="00FB589A" w:rsidRDefault="00982511" w:rsidP="00982511">
                <w:pPr>
                  <w:rPr>
                    <w:b/>
                  </w:rPr>
                </w:pPr>
                <w:proofErr w:type="spellStart"/>
                <w:r>
                  <w:rPr>
                    <w:b/>
                  </w:rPr>
                  <w:t>Discépolo</w:t>
                </w:r>
                <w:proofErr w:type="spellEnd"/>
                <w:r>
                  <w:rPr>
                    <w:b/>
                  </w:rPr>
                  <w:t>, Armando</w:t>
                </w:r>
              </w:p>
            </w:tc>
          </w:sdtContent>
        </w:sdt>
      </w:tr>
      <w:tr w:rsidR="00464699" w14:paraId="3B81F3F2" w14:textId="77777777">
        <w:sdt>
          <w:sdtPr>
            <w:alias w:val="Variant headwords"/>
            <w:tag w:val="variantHeadwords"/>
            <w:id w:val="173464402"/>
            <w:placeholder>
              <w:docPart w:val="5592563D994A9D40B53DE7C58EECB8BF"/>
            </w:placeholder>
            <w:showingPlcHdr/>
          </w:sdtPr>
          <w:sdtEndPr/>
          <w:sdtContent>
            <w:tc>
              <w:tcPr>
                <w:tcW w:w="9016" w:type="dxa"/>
                <w:tcMar>
                  <w:top w:w="113" w:type="dxa"/>
                  <w:bottom w:w="113" w:type="dxa"/>
                </w:tcMar>
              </w:tcPr>
              <w:p w14:paraId="58CC9521" w14:textId="77777777" w:rsidR="00464699" w:rsidRDefault="003B3C0B"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FD4EF1" w14:textId="77777777">
        <w:sdt>
          <w:sdtPr>
            <w:alias w:val="Abstract"/>
            <w:tag w:val="abstract"/>
            <w:id w:val="-635871867"/>
            <w:placeholder>
              <w:docPart w:val="9EE0B1B2B411CF42A559FC1AF2E65CB6"/>
            </w:placeholder>
          </w:sdtPr>
          <w:sdtEndPr/>
          <w:sdtContent>
            <w:tc>
              <w:tcPr>
                <w:tcW w:w="9016" w:type="dxa"/>
                <w:tcMar>
                  <w:top w:w="113" w:type="dxa"/>
                  <w:bottom w:w="113" w:type="dxa"/>
                </w:tcMar>
              </w:tcPr>
              <w:p w14:paraId="03786668" w14:textId="77777777" w:rsidR="00E85A05" w:rsidRPr="00982511" w:rsidRDefault="00982511" w:rsidP="00424FD7">
                <w:r>
                  <w:t xml:space="preserve">Armando </w:t>
                </w:r>
                <w:proofErr w:type="spellStart"/>
                <w:r>
                  <w:t>Discé</w:t>
                </w:r>
                <w:r w:rsidRPr="0072046B">
                  <w:t>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t>Discé</w:t>
                </w:r>
                <w:r w:rsidRPr="0072046B">
                  <w:t>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r w:rsidRPr="00E67124">
                  <w:rPr>
                    <w:i/>
                  </w:rPr>
                  <w:t>criollo</w:t>
                </w:r>
                <w:proofErr w:type="spellEnd"/>
                <w:r>
                  <w:t xml:space="preserve">  (comic one-act plays often featuring tango music) remained popular in the commercialized theatre of the city. Meanwhile comic folk dramas by writers such as Florencio Sanchez had attracted a growing middle-class audience and the attention of critics. </w:t>
                </w:r>
                <w:proofErr w:type="spellStart"/>
                <w:r>
                  <w:t>Discé</w:t>
                </w:r>
                <w:r w:rsidRPr="0072046B">
                  <w:t>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Santos </w:t>
                </w:r>
                <w:proofErr w:type="spellStart"/>
                <w:r w:rsidR="00424FD7" w:rsidRPr="00431DC9">
                  <w:rPr>
                    <w:rFonts w:eastAsia="Helvetica" w:hAnsi="Helvetica"/>
                  </w:rPr>
                  <w:t>Disc</w:t>
                </w:r>
                <w:r w:rsidR="00424FD7" w:rsidRPr="00431DC9">
                  <w:rPr>
                    <w:rFonts w:eastAsia="Helvetica" w:hAnsi="Helvetica"/>
                  </w:rPr>
                  <w:t>é</w:t>
                </w:r>
                <w:r w:rsidRPr="00431DC9">
                  <w:rPr>
                    <w:rFonts w:eastAsia="Helvetica" w:hAnsi="Helvetica"/>
                  </w:rPr>
                  <w:t>polo</w:t>
                </w:r>
                <w:proofErr w:type="spellEnd"/>
                <w:r>
                  <w:t xml:space="preserve">, who was a successful lyricist of tango songs. </w:t>
                </w:r>
              </w:p>
            </w:tc>
          </w:sdtContent>
        </w:sdt>
      </w:tr>
      <w:tr w:rsidR="003F0D73" w14:paraId="30ADDBA0" w14:textId="77777777">
        <w:sdt>
          <w:sdtPr>
            <w:alias w:val="Article text"/>
            <w:tag w:val="articleText"/>
            <w:id w:val="634067588"/>
            <w:placeholder>
              <w:docPart w:val="12093BBB9F569C4E9AC1F1BEC6982F7B"/>
            </w:placeholder>
          </w:sdtPr>
          <w:sdtEndPr/>
          <w:sdtContent>
            <w:tc>
              <w:tcPr>
                <w:tcW w:w="9016" w:type="dxa"/>
                <w:tcMar>
                  <w:top w:w="113" w:type="dxa"/>
                  <w:bottom w:w="113" w:type="dxa"/>
                </w:tcMar>
              </w:tcPr>
              <w:p w14:paraId="5CCA3F01" w14:textId="77777777" w:rsidR="003B3C0B" w:rsidRDefault="003B3C0B" w:rsidP="005A1767">
                <w:r>
                  <w:t xml:space="preserve">Armando </w:t>
                </w:r>
                <w:proofErr w:type="spellStart"/>
                <w:r w:rsidRPr="0072046B">
                  <w:t>Discépolo</w:t>
                </w:r>
                <w:proofErr w:type="spellEnd"/>
                <w:r>
                  <w:t xml:space="preserve"> was an Argentine playwright credited with the creation of the </w:t>
                </w:r>
                <w:proofErr w:type="spellStart"/>
                <w:r>
                  <w:rPr>
                    <w:rFonts w:eastAsia="Times New Roman"/>
                    <w:i/>
                  </w:rPr>
                  <w:t>grotesco</w:t>
                </w:r>
                <w:proofErr w:type="spellEnd"/>
                <w:r>
                  <w:rPr>
                    <w:rFonts w:eastAsia="Times New Roman"/>
                    <w:i/>
                  </w:rPr>
                  <w:t xml:space="preserve"> </w:t>
                </w:r>
                <w:proofErr w:type="spellStart"/>
                <w:r>
                  <w:rPr>
                    <w:rFonts w:eastAsia="Times New Roman"/>
                    <w:i/>
                  </w:rPr>
                  <w:t>criollo</w:t>
                </w:r>
                <w:proofErr w:type="spellEnd"/>
                <w:r>
                  <w:t xml:space="preserve"> genre in the 1920s and 30s. The son of first and second-generation Italian immigrants, </w:t>
                </w:r>
                <w:proofErr w:type="spellStart"/>
                <w:r w:rsidRPr="0072046B">
                  <w:t>Discépolo</w:t>
                </w:r>
                <w:proofErr w:type="spellEnd"/>
                <w:r>
                  <w:t xml:space="preserve"> entered the Buenos Aires theatre world at a time of transition in audience tastes. Lower-class entertainment represented by the </w:t>
                </w:r>
                <w:proofErr w:type="spellStart"/>
                <w:r w:rsidRPr="00E67124">
                  <w:rPr>
                    <w:i/>
                  </w:rPr>
                  <w:t>sainete</w:t>
                </w:r>
                <w:proofErr w:type="spellEnd"/>
                <w:r w:rsidRPr="00E67124">
                  <w:rPr>
                    <w:i/>
                  </w:rPr>
                  <w:t xml:space="preserve"> </w:t>
                </w:r>
                <w:proofErr w:type="spellStart"/>
                <w:r w:rsidRPr="00E67124">
                  <w:rPr>
                    <w:i/>
                  </w:rPr>
                  <w:t>criollo</w:t>
                </w:r>
                <w:proofErr w:type="spellEnd"/>
                <w:r>
                  <w:t xml:space="preserve">  (comic one-act plays often featuring tango music) remained popular in the commercialized theatre of the city. Meanwhile comic folk dramas by writers such as Florencio Sanchez had attracted a growing middle-class audienc</w:t>
                </w:r>
                <w:bookmarkStart w:id="0" w:name="_GoBack"/>
                <w:bookmarkEnd w:id="0"/>
                <w:r>
                  <w:t xml:space="preserve">e and the attention of critics. </w:t>
                </w:r>
                <w:proofErr w:type="spellStart"/>
                <w:r w:rsidRPr="0072046B">
                  <w:t>Discépolo</w:t>
                </w:r>
                <w:r>
                  <w:t>’s</w:t>
                </w:r>
                <w:proofErr w:type="spellEnd"/>
                <w:r>
                  <w:t xml:space="preserve"> career began in the </w:t>
                </w:r>
                <w:proofErr w:type="spellStart"/>
                <w:r>
                  <w:t>sainete</w:t>
                </w:r>
                <w:proofErr w:type="spellEnd"/>
                <w:r>
                  <w:t xml:space="preserve"> genre, and he often collaborated with other writers, including his brother </w:t>
                </w:r>
                <w:r w:rsidR="00424FD7" w:rsidRPr="00431DC9">
                  <w:rPr>
                    <w:rFonts w:eastAsia="Helvetica" w:hAnsi="Helvetica"/>
                  </w:rPr>
                  <w:t xml:space="preserve">Enrique Santos </w:t>
                </w:r>
                <w:proofErr w:type="spellStart"/>
                <w:r w:rsidR="00424FD7" w:rsidRPr="00431DC9">
                  <w:rPr>
                    <w:rFonts w:eastAsia="Helvetica" w:hAnsi="Helvetica"/>
                  </w:rPr>
                  <w:t>Disc</w:t>
                </w:r>
                <w:r w:rsidR="00424FD7" w:rsidRPr="00431DC9">
                  <w:rPr>
                    <w:rFonts w:eastAsia="Helvetica" w:hAnsi="Helvetica"/>
                  </w:rPr>
                  <w:t>é</w:t>
                </w:r>
                <w:r w:rsidRPr="00431DC9">
                  <w:rPr>
                    <w:rFonts w:eastAsia="Helvetica" w:hAnsi="Helvetica"/>
                  </w:rPr>
                  <w:t>polo</w:t>
                </w:r>
                <w:proofErr w:type="spellEnd"/>
                <w:r>
                  <w:t xml:space="preserve">, who was a successful lyricist of tango songs. </w:t>
                </w:r>
              </w:p>
              <w:p w14:paraId="55DFDFD4" w14:textId="77777777" w:rsidR="003B3C0B" w:rsidRDefault="003B3C0B" w:rsidP="005A1767"/>
              <w:p w14:paraId="089AB963" w14:textId="77777777" w:rsidR="00324154" w:rsidRDefault="003B3C0B" w:rsidP="005A1767">
                <w:r>
                  <w:t xml:space="preserve">The transition from the comic </w:t>
                </w:r>
                <w:proofErr w:type="spellStart"/>
                <w:r>
                  <w:t>sainete</w:t>
                </w:r>
                <w:proofErr w:type="spellEnd"/>
                <w:r>
                  <w:t xml:space="preserve"> to the </w:t>
                </w:r>
                <w:proofErr w:type="spellStart"/>
                <w:r>
                  <w:t>grotesco</w:t>
                </w:r>
                <w:proofErr w:type="spellEnd"/>
                <w:r>
                  <w:t xml:space="preserve"> occurred with </w:t>
                </w:r>
                <w:r>
                  <w:rPr>
                    <w:rFonts w:eastAsia="Times New Roman"/>
                    <w:i/>
                  </w:rPr>
                  <w:t xml:space="preserve">Mateo </w:t>
                </w:r>
                <w:r>
                  <w:rPr>
                    <w:rFonts w:eastAsia="Times New Roman"/>
                  </w:rPr>
                  <w:t>(1923)</w:t>
                </w:r>
                <w:r>
                  <w:t xml:space="preserve">, which fused comic caricature, typical of the </w:t>
                </w:r>
                <w:proofErr w:type="spellStart"/>
                <w:r>
                  <w:t>sainete</w:t>
                </w:r>
                <w:proofErr w:type="spellEnd"/>
                <w:r>
                  <w:t>, with emotional depth. Tragicomic characteristics of the new genre included immigrant characters in financial distress, play on words, and physical clumsiness. The characters’ ultimate loneliness reverberated with the spiritual void represented in European expressionism.</w:t>
                </w:r>
                <w:r>
                  <w:rPr>
                    <w:i/>
                  </w:rPr>
                  <w:t xml:space="preserve"> Mu</w:t>
                </w:r>
                <w:r w:rsidRPr="00B17A86">
                  <w:rPr>
                    <w:i/>
                    <w:iCs/>
                    <w:szCs w:val="24"/>
                    <w:lang w:val="es-ES_tradnl"/>
                  </w:rPr>
                  <w:t>ñ</w:t>
                </w:r>
                <w:proofErr w:type="spellStart"/>
                <w:r w:rsidRPr="0099319D">
                  <w:rPr>
                    <w:i/>
                  </w:rPr>
                  <w:t>eca</w:t>
                </w:r>
                <w:proofErr w:type="spellEnd"/>
                <w:r>
                  <w:rPr>
                    <w:i/>
                  </w:rPr>
                  <w:t xml:space="preserve"> </w:t>
                </w:r>
                <w:r>
                  <w:t xml:space="preserve">[The Doll] (1925) shows a more direct influence of the Italian </w:t>
                </w:r>
                <w:proofErr w:type="spellStart"/>
                <w:r>
                  <w:t>grottescos</w:t>
                </w:r>
                <w:proofErr w:type="spellEnd"/>
                <w:r>
                  <w:t xml:space="preserve"> of Pirandello. </w:t>
                </w:r>
                <w:proofErr w:type="spellStart"/>
                <w:r w:rsidRPr="0072046B">
                  <w:rPr>
                    <w:i/>
                  </w:rPr>
                  <w:t>Stéfano</w:t>
                </w:r>
                <w:proofErr w:type="spellEnd"/>
                <w:r>
                  <w:t xml:space="preserve"> (1928), which is considered a masterpiece of the </w:t>
                </w:r>
                <w:proofErr w:type="spellStart"/>
                <w:r>
                  <w:t>grotesco</w:t>
                </w:r>
                <w:proofErr w:type="spellEnd"/>
                <w:r>
                  <w:t xml:space="preserve"> genre, features an immigrant musician who is so fixated on his own failed artistic ambitions that he i</w:t>
                </w:r>
                <w:r w:rsidR="00324154">
                  <w:t>gnores the needs of his family.</w:t>
                </w:r>
              </w:p>
              <w:p w14:paraId="32C6B7A0" w14:textId="77777777" w:rsidR="00324154" w:rsidRDefault="00324154" w:rsidP="005A1767"/>
              <w:p w14:paraId="0C7F327F" w14:textId="77777777" w:rsidR="00324154" w:rsidRDefault="00324154" w:rsidP="005A1767">
                <w:r>
                  <w:t>File:</w:t>
                </w:r>
                <w:r w:rsidRPr="00B36F23">
                  <w:rPr>
                    <w:rFonts w:ascii="Lucida Grande" w:hAnsi="Lucida Grande"/>
                    <w:color w:val="000000"/>
                  </w:rPr>
                  <w:t>discepoloactorluisarataasstefano1928.jpg</w:t>
                </w:r>
              </w:p>
              <w:p w14:paraId="06C0DC8D" w14:textId="77777777" w:rsidR="00324154" w:rsidRDefault="00324154" w:rsidP="005A1767">
                <w:r>
                  <w:t xml:space="preserve">Figure </w:t>
                </w:r>
                <w:r w:rsidR="00431DC9">
                  <w:fldChar w:fldCharType="begin"/>
                </w:r>
                <w:r w:rsidR="00431DC9">
                  <w:instrText xml:space="preserve"> SEQ Figure \* ARABIC </w:instrText>
                </w:r>
                <w:r w:rsidR="00431DC9">
                  <w:fldChar w:fldCharType="separate"/>
                </w:r>
                <w:r>
                  <w:rPr>
                    <w:noProof/>
                  </w:rPr>
                  <w:t>1</w:t>
                </w:r>
                <w:r w:rsidR="00431DC9">
                  <w:rPr>
                    <w:noProof/>
                  </w:rPr>
                  <w:fldChar w:fldCharType="end"/>
                </w:r>
                <w:r>
                  <w:t xml:space="preserve"> </w:t>
                </w:r>
                <w:proofErr w:type="spellStart"/>
                <w:r>
                  <w:t>Discépolo</w:t>
                </w:r>
                <w:proofErr w:type="spellEnd"/>
                <w:r>
                  <w:t xml:space="preserve"> actor Luis </w:t>
                </w:r>
                <w:proofErr w:type="spellStart"/>
                <w:r>
                  <w:t>Arata</w:t>
                </w:r>
                <w:proofErr w:type="spellEnd"/>
                <w:r>
                  <w:t xml:space="preserve"> as Stefano, 1928.</w:t>
                </w:r>
              </w:p>
              <w:p w14:paraId="2FD9B95B" w14:textId="77777777" w:rsidR="00324154" w:rsidRDefault="00324154" w:rsidP="005A1767">
                <w:r>
                  <w:t xml:space="preserve">Source: Taken from webpage </w:t>
                </w:r>
                <w:hyperlink r:id="rId9" w:history="1">
                  <w:r w:rsidRPr="00322140">
                    <w:rPr>
                      <w:rStyle w:val="Hyperlink"/>
                    </w:rPr>
                    <w:t>http://www.cerogrupoteatro.com.ar/stefano_la_obra.htm</w:t>
                  </w:r>
                </w:hyperlink>
                <w:r>
                  <w:t>. No copyright.</w:t>
                </w:r>
              </w:p>
              <w:p w14:paraId="4EA8B15F" w14:textId="77777777" w:rsidR="00324154" w:rsidRDefault="00324154" w:rsidP="005A1767"/>
              <w:p w14:paraId="38A97722" w14:textId="77777777" w:rsidR="00324154" w:rsidRDefault="00324154" w:rsidP="005A1767"/>
              <w:p w14:paraId="584C2339" w14:textId="77777777" w:rsidR="003B3C0B" w:rsidRDefault="003B3C0B" w:rsidP="005A1767">
                <w:r>
                  <w:lastRenderedPageBreak/>
                  <w:t xml:space="preserve">The more pessimistic </w:t>
                </w:r>
                <w:proofErr w:type="spellStart"/>
                <w:r w:rsidRPr="000520CB">
                  <w:rPr>
                    <w:i/>
                  </w:rPr>
                  <w:t>Relojero</w:t>
                </w:r>
                <w:proofErr w:type="spellEnd"/>
                <w:r w:rsidRPr="000520CB">
                  <w:rPr>
                    <w:i/>
                  </w:rPr>
                  <w:t xml:space="preserve"> </w:t>
                </w:r>
                <w:r>
                  <w:t xml:space="preserve">[Watchmaker] (1934) was written during the dictatorship and crisis of the 30s. The Buenos Aires intellectuals of the time overlooked </w:t>
                </w:r>
                <w:proofErr w:type="spellStart"/>
                <w:r w:rsidRPr="0072046B">
                  <w:t>Discépolo</w:t>
                </w:r>
                <w:r>
                  <w:t>’s</w:t>
                </w:r>
                <w:proofErr w:type="spellEnd"/>
                <w:r>
                  <w:t xml:space="preserve"> </w:t>
                </w:r>
                <w:proofErr w:type="spellStart"/>
                <w:r>
                  <w:t>grotescos</w:t>
                </w:r>
                <w:proofErr w:type="spellEnd"/>
                <w:r>
                  <w:t xml:space="preserve"> while </w:t>
                </w:r>
                <w:proofErr w:type="spellStart"/>
                <w:r>
                  <w:t>favoring</w:t>
                </w:r>
                <w:proofErr w:type="spellEnd"/>
                <w:r>
                  <w:t xml:space="preserve"> a nascent independent theatre, which shied away from commercialized theatre. </w:t>
                </w:r>
                <w:proofErr w:type="spellStart"/>
                <w:r w:rsidRPr="0072046B">
                  <w:t>Discépolo</w:t>
                </w:r>
                <w:r>
                  <w:t>’s</w:t>
                </w:r>
                <w:proofErr w:type="spellEnd"/>
                <w:r>
                  <w:t xml:space="preserve"> </w:t>
                </w:r>
                <w:proofErr w:type="spellStart"/>
                <w:r>
                  <w:t>grotesco</w:t>
                </w:r>
                <w:proofErr w:type="spellEnd"/>
                <w:r>
                  <w:t xml:space="preserve"> </w:t>
                </w:r>
                <w:proofErr w:type="spellStart"/>
                <w:r>
                  <w:t>criollo</w:t>
                </w:r>
                <w:proofErr w:type="spellEnd"/>
                <w:r>
                  <w:t xml:space="preserve"> plays are recognized as a great accomplishment of Argentine theatrical practice and have influenced later authors such as Roberto </w:t>
                </w:r>
                <w:proofErr w:type="spellStart"/>
                <w:r>
                  <w:t>Cossa</w:t>
                </w:r>
                <w:proofErr w:type="spellEnd"/>
                <w:r>
                  <w:t xml:space="preserve"> and Griselda Gambaro.   </w:t>
                </w:r>
              </w:p>
              <w:p w14:paraId="7BF033AB" w14:textId="77777777" w:rsidR="003B3C0B" w:rsidRDefault="003B3C0B" w:rsidP="005A1767">
                <w:pPr>
                  <w:rPr>
                    <w:b/>
                  </w:rPr>
                </w:pPr>
              </w:p>
              <w:p w14:paraId="48FB31E3" w14:textId="77777777" w:rsidR="003B3C0B" w:rsidRPr="00B17A86" w:rsidRDefault="003B3C0B" w:rsidP="005A1767">
                <w:pPr>
                  <w:rPr>
                    <w:b/>
                  </w:rPr>
                </w:pPr>
                <w:r w:rsidRPr="00B17A86">
                  <w:rPr>
                    <w:b/>
                  </w:rPr>
                  <w:t>List of Works</w:t>
                </w:r>
              </w:p>
              <w:p w14:paraId="67B5BA96" w14:textId="77777777" w:rsidR="003B3C0B" w:rsidRDefault="003B3C0B" w:rsidP="005A1767"/>
              <w:p w14:paraId="41C406A0" w14:textId="77777777" w:rsidR="003B3C0B" w:rsidRDefault="003B3C0B" w:rsidP="005A1767">
                <w:proofErr w:type="spellStart"/>
                <w:r>
                  <w:t>Pellettieri</w:t>
                </w:r>
                <w:proofErr w:type="spellEnd"/>
                <w:r>
                  <w:t xml:space="preserve">, Osvaldo, ed. (1987) </w:t>
                </w:r>
                <w:proofErr w:type="spellStart"/>
                <w:r w:rsidRPr="000520CB">
                  <w:rPr>
                    <w:i/>
                  </w:rPr>
                  <w:t>Obra</w:t>
                </w:r>
                <w:proofErr w:type="spellEnd"/>
                <w:r w:rsidRPr="000520CB">
                  <w:rPr>
                    <w:i/>
                  </w:rPr>
                  <w:t xml:space="preserve"> </w:t>
                </w:r>
                <w:proofErr w:type="spellStart"/>
                <w:r w:rsidRPr="000520CB">
                  <w:rPr>
                    <w:i/>
                  </w:rPr>
                  <w:t>dramática</w:t>
                </w:r>
                <w:proofErr w:type="spellEnd"/>
                <w:r w:rsidRPr="000520CB">
                  <w:rPr>
                    <w:i/>
                  </w:rPr>
                  <w:t xml:space="preserve"> de Armando </w:t>
                </w:r>
                <w:proofErr w:type="spellStart"/>
                <w:r w:rsidRPr="000520CB">
                  <w:rPr>
                    <w:i/>
                  </w:rPr>
                  <w:t>Discépolo</w:t>
                </w:r>
                <w:proofErr w:type="spellEnd"/>
                <w:r>
                  <w:t xml:space="preserve">, Buenos Aires: Editorial </w:t>
                </w:r>
                <w:proofErr w:type="spellStart"/>
                <w:r>
                  <w:t>Universitaria</w:t>
                </w:r>
                <w:proofErr w:type="spellEnd"/>
                <w:r>
                  <w:t xml:space="preserve"> de Buenos Aires.</w:t>
                </w:r>
              </w:p>
              <w:p w14:paraId="183F04D0" w14:textId="77777777" w:rsidR="003B3C0B" w:rsidRDefault="003B3C0B" w:rsidP="005A1767"/>
              <w:p w14:paraId="44A86D7D" w14:textId="77777777" w:rsidR="003B3C0B" w:rsidRDefault="003B3C0B" w:rsidP="005A1767">
                <w:proofErr w:type="spellStart"/>
                <w:r>
                  <w:t>Discépolo</w:t>
                </w:r>
                <w:proofErr w:type="spellEnd"/>
                <w:r>
                  <w:t xml:space="preserve">, Armando. (1969) </w:t>
                </w:r>
                <w:proofErr w:type="spellStart"/>
                <w:r>
                  <w:rPr>
                    <w:i/>
                    <w:iCs/>
                  </w:rPr>
                  <w:t>Obras</w:t>
                </w:r>
                <w:proofErr w:type="spellEnd"/>
                <w:r>
                  <w:rPr>
                    <w:i/>
                    <w:iCs/>
                  </w:rPr>
                  <w:t xml:space="preserve"> </w:t>
                </w:r>
                <w:proofErr w:type="spellStart"/>
                <w:r>
                  <w:rPr>
                    <w:i/>
                    <w:iCs/>
                  </w:rPr>
                  <w:t>escogidas</w:t>
                </w:r>
                <w:proofErr w:type="spellEnd"/>
                <w:r>
                  <w:t xml:space="preserve">, Buenos Aires: Editorial J. Alvarez.             </w:t>
                </w:r>
              </w:p>
              <w:p w14:paraId="0C7D2AA8" w14:textId="77777777" w:rsidR="003B3C0B" w:rsidRDefault="003B3C0B" w:rsidP="005A1767">
                <w:pPr>
                  <w:rPr>
                    <w:b/>
                  </w:rPr>
                </w:pPr>
              </w:p>
              <w:p w14:paraId="38DA2521" w14:textId="77777777" w:rsidR="003B3C0B" w:rsidRDefault="003B3C0B" w:rsidP="005A1767">
                <w:r>
                  <w:t>------ (1921) ‘</w:t>
                </w:r>
                <w:proofErr w:type="spellStart"/>
                <w:r w:rsidRPr="006E5017">
                  <w:t>Mustafá</w:t>
                </w:r>
                <w:proofErr w:type="spellEnd"/>
                <w:r>
                  <w:t xml:space="preserve">,’ </w:t>
                </w:r>
                <w:r w:rsidRPr="00440AE3">
                  <w:rPr>
                    <w:i/>
                  </w:rPr>
                  <w:t xml:space="preserve">El </w:t>
                </w:r>
                <w:proofErr w:type="spellStart"/>
                <w:r w:rsidRPr="00440AE3">
                  <w:rPr>
                    <w:i/>
                  </w:rPr>
                  <w:t>Teatro</w:t>
                </w:r>
                <w:proofErr w:type="spellEnd"/>
                <w:r w:rsidRPr="00440AE3">
                  <w:rPr>
                    <w:i/>
                  </w:rPr>
                  <w:t xml:space="preserve"> </w:t>
                </w:r>
                <w:proofErr w:type="spellStart"/>
                <w:r w:rsidRPr="00440AE3">
                  <w:rPr>
                    <w:i/>
                  </w:rPr>
                  <w:t>Argentino</w:t>
                </w:r>
                <w:proofErr w:type="spellEnd"/>
                <w:r>
                  <w:t xml:space="preserve"> 3 (40). </w:t>
                </w:r>
              </w:p>
              <w:p w14:paraId="23CF4260" w14:textId="77777777" w:rsidR="003B3C0B" w:rsidRDefault="003B3C0B" w:rsidP="005A1767"/>
              <w:p w14:paraId="6132191E" w14:textId="77777777" w:rsidR="003B3C0B" w:rsidRDefault="003B3C0B" w:rsidP="005A1767">
                <w:r>
                  <w:t>------ (1923) ‘</w:t>
                </w:r>
                <w:r w:rsidRPr="006E5017">
                  <w:t>Mateo</w:t>
                </w:r>
                <w:r>
                  <w:t xml:space="preserve">,’ </w:t>
                </w:r>
                <w:proofErr w:type="spellStart"/>
                <w:r w:rsidRPr="00440AE3">
                  <w:rPr>
                    <w:i/>
                  </w:rPr>
                  <w:t>Bambalinas</w:t>
                </w:r>
                <w:proofErr w:type="spellEnd"/>
                <w:r>
                  <w:t xml:space="preserve"> 6 (275).</w:t>
                </w:r>
              </w:p>
              <w:p w14:paraId="59FA6F3C" w14:textId="77777777" w:rsidR="003B3C0B" w:rsidRDefault="003B3C0B" w:rsidP="005A1767"/>
              <w:p w14:paraId="778A3ABE" w14:textId="77777777" w:rsidR="003B3C0B" w:rsidRDefault="003B3C0B" w:rsidP="005A1767">
                <w:r>
                  <w:t>------ (1925) ‘</w:t>
                </w:r>
                <w:proofErr w:type="spellStart"/>
                <w:r w:rsidRPr="006E5017">
                  <w:t>Muñeca</w:t>
                </w:r>
                <w:proofErr w:type="spellEnd"/>
                <w:r>
                  <w:t xml:space="preserve">,’ </w:t>
                </w:r>
                <w:proofErr w:type="spellStart"/>
                <w:r w:rsidRPr="00440AE3">
                  <w:rPr>
                    <w:i/>
                  </w:rPr>
                  <w:t>Bambalinas</w:t>
                </w:r>
                <w:proofErr w:type="spellEnd"/>
                <w:r>
                  <w:t xml:space="preserve"> 7 (355). </w:t>
                </w:r>
              </w:p>
              <w:p w14:paraId="0CFC8516" w14:textId="77777777" w:rsidR="003B3C0B" w:rsidRDefault="003B3C0B" w:rsidP="005A1767"/>
              <w:p w14:paraId="4E8A4C6C" w14:textId="77777777" w:rsidR="003B3C0B" w:rsidRDefault="003B3C0B" w:rsidP="005A1767">
                <w:r>
                  <w:t>------ (1926) ‘</w:t>
                </w:r>
                <w:r w:rsidRPr="006E5017">
                  <w:t xml:space="preserve">El </w:t>
                </w:r>
                <w:proofErr w:type="spellStart"/>
                <w:r w:rsidRPr="006E5017">
                  <w:t>organito</w:t>
                </w:r>
                <w:proofErr w:type="spellEnd"/>
                <w:r>
                  <w:t>,’</w:t>
                </w:r>
                <w:r w:rsidRPr="00440AE3">
                  <w:rPr>
                    <w:i/>
                  </w:rPr>
                  <w:t xml:space="preserve"> La </w:t>
                </w:r>
                <w:proofErr w:type="spellStart"/>
                <w:r w:rsidRPr="00440AE3">
                  <w:rPr>
                    <w:i/>
                  </w:rPr>
                  <w:t>Escena</w:t>
                </w:r>
                <w:proofErr w:type="spellEnd"/>
                <w:r>
                  <w:t xml:space="preserve"> 9 (407). </w:t>
                </w:r>
              </w:p>
              <w:p w14:paraId="2AA2A440" w14:textId="77777777" w:rsidR="003B3C0B" w:rsidRDefault="003B3C0B" w:rsidP="005A1767"/>
              <w:p w14:paraId="3C83FCFF" w14:textId="77777777" w:rsidR="003B3C0B" w:rsidRDefault="003B3C0B" w:rsidP="005A1767">
                <w:r>
                  <w:t>------ (1928) ‘</w:t>
                </w:r>
                <w:proofErr w:type="spellStart"/>
                <w:r w:rsidRPr="002A6A11">
                  <w:t>Stéfano</w:t>
                </w:r>
                <w:proofErr w:type="spellEnd"/>
                <w:r w:rsidRPr="002A6A11">
                  <w:t>,</w:t>
                </w:r>
                <w:r>
                  <w:t xml:space="preserve">’ </w:t>
                </w:r>
                <w:r w:rsidRPr="00EE3566">
                  <w:rPr>
                    <w:i/>
                  </w:rPr>
                  <w:t xml:space="preserve">La </w:t>
                </w:r>
                <w:proofErr w:type="spellStart"/>
                <w:r w:rsidRPr="00EE3566">
                  <w:rPr>
                    <w:i/>
                  </w:rPr>
                  <w:t>Escena</w:t>
                </w:r>
                <w:proofErr w:type="spellEnd"/>
                <w:r>
                  <w:t xml:space="preserve"> 11 (519). </w:t>
                </w:r>
              </w:p>
              <w:p w14:paraId="2E8DA2FF" w14:textId="77777777" w:rsidR="003B3C0B" w:rsidRDefault="003B3C0B" w:rsidP="005A1767"/>
              <w:p w14:paraId="0AB2DABF" w14:textId="77777777" w:rsidR="003B3C0B" w:rsidRDefault="003B3C0B" w:rsidP="005A1767">
                <w:r>
                  <w:t>------ (1934) ‘</w:t>
                </w:r>
                <w:proofErr w:type="spellStart"/>
                <w:r>
                  <w:t>Relojero</w:t>
                </w:r>
                <w:proofErr w:type="spellEnd"/>
                <w:r>
                  <w:t xml:space="preserve">,’ </w:t>
                </w:r>
                <w:proofErr w:type="spellStart"/>
                <w:r w:rsidRPr="00EE3566">
                  <w:rPr>
                    <w:i/>
                  </w:rPr>
                  <w:t>Argentores</w:t>
                </w:r>
                <w:proofErr w:type="spellEnd"/>
                <w:r>
                  <w:t xml:space="preserve"> 1 (13). </w:t>
                </w:r>
              </w:p>
              <w:p w14:paraId="0A7E7727" w14:textId="77777777" w:rsidR="003F0D73" w:rsidRDefault="00431DC9" w:rsidP="005A1767"/>
            </w:tc>
          </w:sdtContent>
        </w:sdt>
      </w:tr>
      <w:tr w:rsidR="003235A7" w14:paraId="51238669" w14:textId="77777777">
        <w:tc>
          <w:tcPr>
            <w:tcW w:w="9016" w:type="dxa"/>
          </w:tcPr>
          <w:p w14:paraId="18CF5568" w14:textId="77777777" w:rsidR="003235A7" w:rsidRDefault="003B3C0B" w:rsidP="008A5B87">
            <w:r w:rsidRPr="0015114C">
              <w:rPr>
                <w:u w:val="single"/>
              </w:rPr>
              <w:lastRenderedPageBreak/>
              <w:t>Further reading</w:t>
            </w:r>
            <w:r>
              <w:t>:</w:t>
            </w:r>
          </w:p>
          <w:sdt>
            <w:sdtPr>
              <w:alias w:val="Further reading"/>
              <w:tag w:val="furtherReading"/>
              <w:id w:val="-1516217107"/>
              <w:placeholder>
                <w:docPart w:val="CFA121E183D9DD4B9E4D6F81D6195DB2"/>
              </w:placeholder>
            </w:sdtPr>
            <w:sdtEndPr/>
            <w:sdtContent>
              <w:p w14:paraId="650C26CF" w14:textId="77777777" w:rsidR="00982511" w:rsidRDefault="00982511" w:rsidP="00982511"/>
              <w:p w14:paraId="1E39BD9A" w14:textId="77777777" w:rsidR="00424FD7" w:rsidRDefault="00431DC9" w:rsidP="00982511">
                <w:pPr>
                  <w:rPr>
                    <w:szCs w:val="24"/>
                  </w:rPr>
                </w:pPr>
                <w:sdt>
                  <w:sdtPr>
                    <w:rPr>
                      <w:szCs w:val="24"/>
                    </w:rPr>
                    <w:id w:val="111969082"/>
                    <w:citation/>
                  </w:sdtPr>
                  <w:sdtEndPr/>
                  <w:sdtContent>
                    <w:r w:rsidR="00424FD7">
                      <w:rPr>
                        <w:szCs w:val="24"/>
                      </w:rPr>
                      <w:fldChar w:fldCharType="begin"/>
                    </w:r>
                    <w:r w:rsidR="00424FD7">
                      <w:rPr>
                        <w:szCs w:val="24"/>
                        <w:lang w:val="en-US"/>
                      </w:rPr>
                      <w:instrText xml:space="preserve"> CITATION Loa09 \l 1033 </w:instrText>
                    </w:r>
                    <w:r w:rsidR="00424FD7">
                      <w:rPr>
                        <w:szCs w:val="24"/>
                      </w:rPr>
                      <w:fldChar w:fldCharType="separate"/>
                    </w:r>
                    <w:r w:rsidR="00424FD7" w:rsidRPr="00424FD7">
                      <w:rPr>
                        <w:noProof/>
                        <w:szCs w:val="24"/>
                        <w:lang w:val="en-US"/>
                      </w:rPr>
                      <w:t>(Loayza)</w:t>
                    </w:r>
                    <w:r w:rsidR="00424FD7">
                      <w:rPr>
                        <w:szCs w:val="24"/>
                      </w:rPr>
                      <w:fldChar w:fldCharType="end"/>
                    </w:r>
                  </w:sdtContent>
                </w:sdt>
              </w:p>
              <w:p w14:paraId="282B6DBA" w14:textId="77777777" w:rsidR="00982511" w:rsidRDefault="00431DC9" w:rsidP="00982511">
                <w:pPr>
                  <w:rPr>
                    <w:rFonts w:eastAsia="Helvetica" w:hAnsi="Helvetica"/>
                  </w:rPr>
                </w:pPr>
                <w:sdt>
                  <w:sdtPr>
                    <w:rPr>
                      <w:rFonts w:eastAsia="Helvetica" w:hAnsi="Helvetica"/>
                    </w:rPr>
                    <w:id w:val="111969088"/>
                    <w:citation/>
                  </w:sdtPr>
                  <w:sdtEndPr/>
                  <w:sdtContent>
                    <w:r w:rsidR="00424FD7">
                      <w:rPr>
                        <w:rFonts w:eastAsia="Helvetica" w:hAnsi="Helvetica"/>
                      </w:rPr>
                      <w:fldChar w:fldCharType="begin"/>
                    </w:r>
                    <w:r w:rsidR="00424FD7">
                      <w:rPr>
                        <w:rFonts w:eastAsia="Helvetica"/>
                        <w:lang w:val="en-US"/>
                      </w:rPr>
                      <w:instrText xml:space="preserve"> CITATION Maj14 \l 1033 </w:instrText>
                    </w:r>
                    <w:r w:rsidR="00424FD7">
                      <w:rPr>
                        <w:rFonts w:eastAsia="Helvetica" w:hAnsi="Helvetica"/>
                      </w:rPr>
                      <w:fldChar w:fldCharType="separate"/>
                    </w:r>
                    <w:r w:rsidR="00424FD7" w:rsidRPr="00424FD7">
                      <w:rPr>
                        <w:rFonts w:eastAsia="Helvetica"/>
                        <w:noProof/>
                        <w:lang w:val="en-US"/>
                      </w:rPr>
                      <w:t>(Majstorovic)</w:t>
                    </w:r>
                    <w:r w:rsidR="00424FD7">
                      <w:rPr>
                        <w:rFonts w:eastAsia="Helvetica" w:hAnsi="Helvetica"/>
                      </w:rPr>
                      <w:fldChar w:fldCharType="end"/>
                    </w:r>
                  </w:sdtContent>
                </w:sdt>
              </w:p>
              <w:p w14:paraId="251D3590" w14:textId="77777777" w:rsidR="00982511" w:rsidRDefault="00431DC9" w:rsidP="00982511">
                <w:sdt>
                  <w:sdtPr>
                    <w:id w:val="111969097"/>
                    <w:citation/>
                  </w:sdtPr>
                  <w:sdtEndPr/>
                  <w:sdtContent>
                    <w:r w:rsidR="00424FD7">
                      <w:fldChar w:fldCharType="begin"/>
                    </w:r>
                    <w:r w:rsidR="00424FD7">
                      <w:rPr>
                        <w:lang w:val="en-US"/>
                      </w:rPr>
                      <w:instrText xml:space="preserve"> CITATION San04 \l 1033 </w:instrText>
                    </w:r>
                    <w:r w:rsidR="00424FD7">
                      <w:fldChar w:fldCharType="separate"/>
                    </w:r>
                    <w:r w:rsidR="00424FD7" w:rsidRPr="00424FD7">
                      <w:rPr>
                        <w:noProof/>
                        <w:lang w:val="en-US"/>
                      </w:rPr>
                      <w:t>(Sanhueza-Carvajal)</w:t>
                    </w:r>
                    <w:r w:rsidR="00424FD7">
                      <w:fldChar w:fldCharType="end"/>
                    </w:r>
                  </w:sdtContent>
                </w:sdt>
              </w:p>
              <w:p w14:paraId="6C9CA99B" w14:textId="77777777" w:rsidR="003235A7" w:rsidRDefault="00431DC9" w:rsidP="00FB11DE">
                <w:sdt>
                  <w:sdtPr>
                    <w:id w:val="111969105"/>
                    <w:citation/>
                  </w:sdtPr>
                  <w:sdtEndPr/>
                  <w:sdtContent>
                    <w:r w:rsidR="00424FD7">
                      <w:fldChar w:fldCharType="begin"/>
                    </w:r>
                    <w:r w:rsidR="00424FD7">
                      <w:rPr>
                        <w:lang w:val="en-US"/>
                      </w:rPr>
                      <w:instrText xml:space="preserve"> CITATION Vin73 \l 1033 </w:instrText>
                    </w:r>
                    <w:r w:rsidR="00424FD7">
                      <w:fldChar w:fldCharType="separate"/>
                    </w:r>
                    <w:r w:rsidR="00424FD7" w:rsidRPr="00424FD7">
                      <w:rPr>
                        <w:noProof/>
                        <w:lang w:val="en-US"/>
                      </w:rPr>
                      <w:t>(Viñas)</w:t>
                    </w:r>
                    <w:r w:rsidR="00424FD7">
                      <w:fldChar w:fldCharType="end"/>
                    </w:r>
                  </w:sdtContent>
                </w:sdt>
              </w:p>
            </w:sdtContent>
          </w:sdt>
        </w:tc>
      </w:tr>
    </w:tbl>
    <w:p w14:paraId="5AE84196" w14:textId="77777777" w:rsidR="00C27FAB" w:rsidRPr="00F36937" w:rsidRDefault="00431DC9" w:rsidP="00B33145"/>
    <w:sectPr w:rsidR="00C27FAB" w:rsidRPr="00F36937" w:rsidSect="00411D33">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F984C" w14:textId="77777777" w:rsidR="00982511" w:rsidRDefault="00982511" w:rsidP="007A0D55">
      <w:pPr>
        <w:spacing w:after="0" w:line="240" w:lineRule="auto"/>
      </w:pPr>
      <w:r>
        <w:separator/>
      </w:r>
    </w:p>
  </w:endnote>
  <w:endnote w:type="continuationSeparator" w:id="0">
    <w:p w14:paraId="75BC23B9" w14:textId="77777777" w:rsidR="00982511" w:rsidRDefault="009825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00000001" w:usb1="00000000" w:usb2="01000407"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8F05C" w14:textId="77777777" w:rsidR="00982511" w:rsidRDefault="00982511" w:rsidP="007A0D55">
      <w:pPr>
        <w:spacing w:after="0" w:line="240" w:lineRule="auto"/>
      </w:pPr>
      <w:r>
        <w:separator/>
      </w:r>
    </w:p>
  </w:footnote>
  <w:footnote w:type="continuationSeparator" w:id="0">
    <w:p w14:paraId="00FD690A" w14:textId="77777777" w:rsidR="00982511" w:rsidRDefault="0098251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4FA94" w14:textId="77777777" w:rsidR="007A0D55" w:rsidRDefault="003B3C0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82E0489" w14:textId="77777777" w:rsidR="007A0D55" w:rsidRDefault="00431D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B3C0B"/>
    <w:rsid w:val="00324154"/>
    <w:rsid w:val="003B3C0B"/>
    <w:rsid w:val="00424FD7"/>
    <w:rsid w:val="00431DC9"/>
    <w:rsid w:val="004F463A"/>
    <w:rsid w:val="005A1767"/>
    <w:rsid w:val="0098251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78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iPriority="0"/>
    <w:lsdException w:name="header" w:unhideWhenUsed="1"/>
    <w:lsdException w:name="footer" w:unhideWhenUsed="1"/>
    <w:lsdException w:name="caption" w:uiPriority="35" w:qFormat="1"/>
    <w:lsdException w:name="annotation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customStyle="1" w:styleId="Body1">
    <w:name w:val="Body 1"/>
    <w:rsid w:val="00982511"/>
    <w:pPr>
      <w:spacing w:after="0" w:line="240" w:lineRule="auto"/>
      <w:outlineLvl w:val="0"/>
    </w:pPr>
    <w:rPr>
      <w:rFonts w:ascii="Times New Roman" w:eastAsia="ヒラギノ角ゴ Pro W3" w:hAnsi="Times New Roman" w:cs="Times New Roman"/>
      <w:color w:val="000000"/>
      <w:sz w:val="24"/>
      <w:szCs w:val="20"/>
      <w:lang w:val="en-US"/>
    </w:rPr>
  </w:style>
  <w:style w:type="character" w:styleId="Hyperlink">
    <w:name w:val="Hyperlink"/>
    <w:rsid w:val="00982511"/>
    <w:rPr>
      <w:color w:val="0000FF"/>
      <w:u w:val="single"/>
    </w:rPr>
  </w:style>
  <w:style w:type="character" w:styleId="CommentReference">
    <w:name w:val="annotation reference"/>
    <w:rsid w:val="003B3C0B"/>
    <w:rPr>
      <w:sz w:val="18"/>
      <w:szCs w:val="18"/>
    </w:rPr>
  </w:style>
  <w:style w:type="paragraph" w:styleId="CommentText">
    <w:name w:val="annotation text"/>
    <w:basedOn w:val="Normal"/>
    <w:link w:val="CommentTextChar"/>
    <w:rsid w:val="003B3C0B"/>
    <w:pPr>
      <w:spacing w:after="0" w:line="240" w:lineRule="auto"/>
    </w:pPr>
    <w:rPr>
      <w:rFonts w:ascii="Times New Roman" w:eastAsia="Times New Roman" w:hAnsi="Times New Roman" w:cs="Times New Roman"/>
      <w:sz w:val="24"/>
      <w:szCs w:val="24"/>
      <w:lang w:val="en-US"/>
    </w:rPr>
  </w:style>
  <w:style w:type="character" w:customStyle="1" w:styleId="CommentTextChar">
    <w:name w:val="Comment Text Char"/>
    <w:basedOn w:val="DefaultParagraphFont"/>
    <w:link w:val="CommentText"/>
    <w:rsid w:val="003B3C0B"/>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rsid w:val="003B3C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3C0B"/>
    <w:rPr>
      <w:rFonts w:ascii="Lucida Grande" w:hAnsi="Lucida Grande"/>
      <w:sz w:val="18"/>
      <w:szCs w:val="18"/>
    </w:rPr>
  </w:style>
  <w:style w:type="paragraph" w:styleId="Caption">
    <w:name w:val="caption"/>
    <w:basedOn w:val="Normal"/>
    <w:next w:val="Normal"/>
    <w:uiPriority w:val="35"/>
    <w:semiHidden/>
    <w:qFormat/>
    <w:rsid w:val="0032415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rogrupoteatro.com.ar/stefano_la_obra.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Eddy's%20Computer:Users:eddyrapide:Desktop:Stephen%20Ros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0E0D404EE73544A04B431D99661BF8"/>
        <w:category>
          <w:name w:val="General"/>
          <w:gallery w:val="placeholder"/>
        </w:category>
        <w:types>
          <w:type w:val="bbPlcHdr"/>
        </w:types>
        <w:behaviors>
          <w:behavior w:val="content"/>
        </w:behaviors>
        <w:guid w:val="{B28358F6-B81F-9247-A438-158D43AE6BDD}"/>
      </w:docPartPr>
      <w:docPartBody>
        <w:p w:rsidR="00556753" w:rsidRDefault="00556753">
          <w:pPr>
            <w:pStyle w:val="0F0E0D404EE73544A04B431D99661BF8"/>
          </w:pPr>
          <w:r w:rsidRPr="00CC586D">
            <w:rPr>
              <w:rStyle w:val="PlaceholderText"/>
              <w:b/>
              <w:color w:val="FFFFFF" w:themeColor="background1"/>
            </w:rPr>
            <w:t>[Salutation]</w:t>
          </w:r>
        </w:p>
      </w:docPartBody>
    </w:docPart>
    <w:docPart>
      <w:docPartPr>
        <w:name w:val="4BC7AA071EC0FD44BFB17C45618DAA7B"/>
        <w:category>
          <w:name w:val="General"/>
          <w:gallery w:val="placeholder"/>
        </w:category>
        <w:types>
          <w:type w:val="bbPlcHdr"/>
        </w:types>
        <w:behaviors>
          <w:behavior w:val="content"/>
        </w:behaviors>
        <w:guid w:val="{57F30D44-D718-D54B-8C4E-457DA79023F3}"/>
      </w:docPartPr>
      <w:docPartBody>
        <w:p w:rsidR="00556753" w:rsidRDefault="00556753">
          <w:pPr>
            <w:pStyle w:val="4BC7AA071EC0FD44BFB17C45618DAA7B"/>
          </w:pPr>
          <w:r>
            <w:rPr>
              <w:rStyle w:val="PlaceholderText"/>
            </w:rPr>
            <w:t>[First name]</w:t>
          </w:r>
        </w:p>
      </w:docPartBody>
    </w:docPart>
    <w:docPart>
      <w:docPartPr>
        <w:name w:val="DCFAAE438219A8408B927DD5905F8D5F"/>
        <w:category>
          <w:name w:val="General"/>
          <w:gallery w:val="placeholder"/>
        </w:category>
        <w:types>
          <w:type w:val="bbPlcHdr"/>
        </w:types>
        <w:behaviors>
          <w:behavior w:val="content"/>
        </w:behaviors>
        <w:guid w:val="{26C66158-D8FE-B649-90FF-5D30BB20BB3F}"/>
      </w:docPartPr>
      <w:docPartBody>
        <w:p w:rsidR="00556753" w:rsidRDefault="00556753">
          <w:pPr>
            <w:pStyle w:val="DCFAAE438219A8408B927DD5905F8D5F"/>
          </w:pPr>
          <w:r>
            <w:rPr>
              <w:rStyle w:val="PlaceholderText"/>
            </w:rPr>
            <w:t>[Middle name]</w:t>
          </w:r>
        </w:p>
      </w:docPartBody>
    </w:docPart>
    <w:docPart>
      <w:docPartPr>
        <w:name w:val="3620FEE1DC8EB74987334CA484CB4CA5"/>
        <w:category>
          <w:name w:val="General"/>
          <w:gallery w:val="placeholder"/>
        </w:category>
        <w:types>
          <w:type w:val="bbPlcHdr"/>
        </w:types>
        <w:behaviors>
          <w:behavior w:val="content"/>
        </w:behaviors>
        <w:guid w:val="{01B787E1-46CF-7242-BB00-DC553D88F9CF}"/>
      </w:docPartPr>
      <w:docPartBody>
        <w:p w:rsidR="00556753" w:rsidRDefault="00556753">
          <w:pPr>
            <w:pStyle w:val="3620FEE1DC8EB74987334CA484CB4CA5"/>
          </w:pPr>
          <w:r>
            <w:rPr>
              <w:rStyle w:val="PlaceholderText"/>
            </w:rPr>
            <w:t>[Last name]</w:t>
          </w:r>
        </w:p>
      </w:docPartBody>
    </w:docPart>
    <w:docPart>
      <w:docPartPr>
        <w:name w:val="32F66FCDE60DD6498739D1B68226C782"/>
        <w:category>
          <w:name w:val="General"/>
          <w:gallery w:val="placeholder"/>
        </w:category>
        <w:types>
          <w:type w:val="bbPlcHdr"/>
        </w:types>
        <w:behaviors>
          <w:behavior w:val="content"/>
        </w:behaviors>
        <w:guid w:val="{FFD4DC91-2B3F-364E-9A26-F61909260673}"/>
      </w:docPartPr>
      <w:docPartBody>
        <w:p w:rsidR="00556753" w:rsidRDefault="00556753">
          <w:pPr>
            <w:pStyle w:val="32F66FCDE60DD6498739D1B68226C782"/>
          </w:pPr>
          <w:r>
            <w:rPr>
              <w:rStyle w:val="PlaceholderText"/>
            </w:rPr>
            <w:t>[Enter your biography]</w:t>
          </w:r>
        </w:p>
      </w:docPartBody>
    </w:docPart>
    <w:docPart>
      <w:docPartPr>
        <w:name w:val="03537D30CC4FA643ABB30C8B70E535CA"/>
        <w:category>
          <w:name w:val="General"/>
          <w:gallery w:val="placeholder"/>
        </w:category>
        <w:types>
          <w:type w:val="bbPlcHdr"/>
        </w:types>
        <w:behaviors>
          <w:behavior w:val="content"/>
        </w:behaviors>
        <w:guid w:val="{AAAA2C33-C811-284F-978B-15865835C559}"/>
      </w:docPartPr>
      <w:docPartBody>
        <w:p w:rsidR="00556753" w:rsidRDefault="00556753">
          <w:pPr>
            <w:pStyle w:val="03537D30CC4FA643ABB30C8B70E535CA"/>
          </w:pPr>
          <w:r>
            <w:rPr>
              <w:rStyle w:val="PlaceholderText"/>
            </w:rPr>
            <w:t>[Enter the institution with which you are affiliated]</w:t>
          </w:r>
        </w:p>
      </w:docPartBody>
    </w:docPart>
    <w:docPart>
      <w:docPartPr>
        <w:name w:val="3C151D20B4880049A7E7A4FEE80376F7"/>
        <w:category>
          <w:name w:val="General"/>
          <w:gallery w:val="placeholder"/>
        </w:category>
        <w:types>
          <w:type w:val="bbPlcHdr"/>
        </w:types>
        <w:behaviors>
          <w:behavior w:val="content"/>
        </w:behaviors>
        <w:guid w:val="{B374AF81-3C13-4E42-978A-D32B5BAF20C3}"/>
      </w:docPartPr>
      <w:docPartBody>
        <w:p w:rsidR="00556753" w:rsidRDefault="00556753">
          <w:pPr>
            <w:pStyle w:val="3C151D20B4880049A7E7A4FEE80376F7"/>
          </w:pPr>
          <w:r w:rsidRPr="00EF74F7">
            <w:rPr>
              <w:b/>
              <w:color w:val="808080" w:themeColor="background1" w:themeShade="80"/>
            </w:rPr>
            <w:t>[Enter the headword for your article]</w:t>
          </w:r>
        </w:p>
      </w:docPartBody>
    </w:docPart>
    <w:docPart>
      <w:docPartPr>
        <w:name w:val="5592563D994A9D40B53DE7C58EECB8BF"/>
        <w:category>
          <w:name w:val="General"/>
          <w:gallery w:val="placeholder"/>
        </w:category>
        <w:types>
          <w:type w:val="bbPlcHdr"/>
        </w:types>
        <w:behaviors>
          <w:behavior w:val="content"/>
        </w:behaviors>
        <w:guid w:val="{CEE236AD-9472-674D-BD70-EDCE78A4341C}"/>
      </w:docPartPr>
      <w:docPartBody>
        <w:p w:rsidR="00556753" w:rsidRDefault="00556753">
          <w:pPr>
            <w:pStyle w:val="5592563D994A9D40B53DE7C58EECB8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EE0B1B2B411CF42A559FC1AF2E65CB6"/>
        <w:category>
          <w:name w:val="General"/>
          <w:gallery w:val="placeholder"/>
        </w:category>
        <w:types>
          <w:type w:val="bbPlcHdr"/>
        </w:types>
        <w:behaviors>
          <w:behavior w:val="content"/>
        </w:behaviors>
        <w:guid w:val="{B61C05C8-C2F4-244F-B7CA-E6B58D580049}"/>
      </w:docPartPr>
      <w:docPartBody>
        <w:p w:rsidR="00556753" w:rsidRDefault="00556753">
          <w:pPr>
            <w:pStyle w:val="9EE0B1B2B411CF42A559FC1AF2E65C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093BBB9F569C4E9AC1F1BEC6982F7B"/>
        <w:category>
          <w:name w:val="General"/>
          <w:gallery w:val="placeholder"/>
        </w:category>
        <w:types>
          <w:type w:val="bbPlcHdr"/>
        </w:types>
        <w:behaviors>
          <w:behavior w:val="content"/>
        </w:behaviors>
        <w:guid w:val="{F1264410-957F-3443-8052-015C3212706C}"/>
      </w:docPartPr>
      <w:docPartBody>
        <w:p w:rsidR="00556753" w:rsidRDefault="00556753">
          <w:pPr>
            <w:pStyle w:val="12093BBB9F569C4E9AC1F1BEC6982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FA121E183D9DD4B9E4D6F81D6195DB2"/>
        <w:category>
          <w:name w:val="General"/>
          <w:gallery w:val="placeholder"/>
        </w:category>
        <w:types>
          <w:type w:val="bbPlcHdr"/>
        </w:types>
        <w:behaviors>
          <w:behavior w:val="content"/>
        </w:behaviors>
        <w:guid w:val="{6234C450-D98E-BF4D-B04C-3215BED2E6AD}"/>
      </w:docPartPr>
      <w:docPartBody>
        <w:p w:rsidR="00556753" w:rsidRDefault="00556753">
          <w:pPr>
            <w:pStyle w:val="CFA121E183D9DD4B9E4D6F81D6195D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00000001" w:usb1="00000000" w:usb2="01000407"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556753"/>
    <w:rsid w:val="005567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753"/>
    <w:rPr>
      <w:color w:val="808080"/>
    </w:rPr>
  </w:style>
  <w:style w:type="paragraph" w:customStyle="1" w:styleId="0F0E0D404EE73544A04B431D99661BF8">
    <w:name w:val="0F0E0D404EE73544A04B431D99661BF8"/>
    <w:rsid w:val="00556753"/>
  </w:style>
  <w:style w:type="paragraph" w:customStyle="1" w:styleId="4BC7AA071EC0FD44BFB17C45618DAA7B">
    <w:name w:val="4BC7AA071EC0FD44BFB17C45618DAA7B"/>
    <w:rsid w:val="00556753"/>
  </w:style>
  <w:style w:type="paragraph" w:customStyle="1" w:styleId="DCFAAE438219A8408B927DD5905F8D5F">
    <w:name w:val="DCFAAE438219A8408B927DD5905F8D5F"/>
    <w:rsid w:val="00556753"/>
  </w:style>
  <w:style w:type="paragraph" w:customStyle="1" w:styleId="3620FEE1DC8EB74987334CA484CB4CA5">
    <w:name w:val="3620FEE1DC8EB74987334CA484CB4CA5"/>
    <w:rsid w:val="00556753"/>
  </w:style>
  <w:style w:type="paragraph" w:customStyle="1" w:styleId="32F66FCDE60DD6498739D1B68226C782">
    <w:name w:val="32F66FCDE60DD6498739D1B68226C782"/>
    <w:rsid w:val="00556753"/>
  </w:style>
  <w:style w:type="paragraph" w:customStyle="1" w:styleId="03537D30CC4FA643ABB30C8B70E535CA">
    <w:name w:val="03537D30CC4FA643ABB30C8B70E535CA"/>
    <w:rsid w:val="00556753"/>
  </w:style>
  <w:style w:type="paragraph" w:customStyle="1" w:styleId="3C151D20B4880049A7E7A4FEE80376F7">
    <w:name w:val="3C151D20B4880049A7E7A4FEE80376F7"/>
    <w:rsid w:val="00556753"/>
  </w:style>
  <w:style w:type="paragraph" w:customStyle="1" w:styleId="5592563D994A9D40B53DE7C58EECB8BF">
    <w:name w:val="5592563D994A9D40B53DE7C58EECB8BF"/>
    <w:rsid w:val="00556753"/>
  </w:style>
  <w:style w:type="paragraph" w:customStyle="1" w:styleId="9EE0B1B2B411CF42A559FC1AF2E65CB6">
    <w:name w:val="9EE0B1B2B411CF42A559FC1AF2E65CB6"/>
    <w:rsid w:val="00556753"/>
  </w:style>
  <w:style w:type="paragraph" w:customStyle="1" w:styleId="12093BBB9F569C4E9AC1F1BEC6982F7B">
    <w:name w:val="12093BBB9F569C4E9AC1F1BEC6982F7B"/>
    <w:rsid w:val="00556753"/>
  </w:style>
  <w:style w:type="paragraph" w:customStyle="1" w:styleId="CFA121E183D9DD4B9E4D6F81D6195DB2">
    <w:name w:val="CFA121E183D9DD4B9E4D6F81D6195DB2"/>
    <w:rsid w:val="005567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Loa09</b:Tag>
    <b:SourceType>JournalArticle</b:SourceType>
    <b:Guid>{8C33D755-04FD-774F-B702-5A08E2DC91AD}</b:Guid>
    <b:LCID>uz-Cyrl-UZ</b:LCID>
    <b:Author>
      <b:Author>
        <b:NameList>
          <b:Person>
            <b:Last>Loayza</b:Last>
            <b:First>M.</b:First>
          </b:Person>
        </b:NameList>
      </b:Author>
    </b:Author>
    <b:Title>David Viñas’s Theory of Grotesco and the Glocal Scene of Habitus Production</b:Title>
    <b:Year>2009</b:Year>
    <b:Volume>23</b:Volume>
    <b:Pages>111-30</b:Pages>
    <b:JournalName>Journal of Dramatic Theory and Criticism</b:JournalName>
    <b:Issue>2</b:Issue>
    <b:RefOrder>1</b:RefOrder>
  </b:Source>
  <b:Source>
    <b:Tag>Maj14</b:Tag>
    <b:SourceType>JournalArticle</b:SourceType>
    <b:Guid>{00289157-1502-8F47-8414-E37E5817B22B}</b:Guid>
    <b:LCID>uz-Cyrl-UZ</b:LCID>
    <b:Author>
      <b:Author>
        <b:NameList>
          <b:Person>
            <b:Last>Majstorovic</b:Last>
            <b:First>G.</b:First>
          </b:Person>
        </b:NameList>
      </b:Author>
    </b:Author>
    <b:Title>Dissonant Echoes of the Great War: the Avant-garde, Urban Space, and Immigrant Voices in Armando Discépolo’s Babilonia</b:Title>
    <b:JournalName>Iberoamericana</b:JournalName>
    <b:Year>2014</b:Year>
    <b:Volume>14</b:Volume>
    <b:Issue>53</b:Issue>
    <b:Pages>139-51</b:Pages>
    <b:RefOrder>2</b:RefOrder>
  </b:Source>
  <b:Source>
    <b:Tag>San04</b:Tag>
    <b:SourceType>Book</b:SourceType>
    <b:Guid>{AA2F9904-0713-2C45-8EBB-2D5E5351A4DC}</b:Guid>
    <b:LCID>uz-Cyrl-UZ</b:LCID>
    <b:Author>
      <b:Author>
        <b:NameList>
          <b:Person>
            <b:Last>Sanhueza-Carvajal</b:Last>
            <b:First>M.</b:First>
            <b:Middle>T.</b:Middle>
          </b:Person>
        </b:NameList>
      </b:Author>
    </b:Author>
    <b:Title>Continuidad, transformación y cambio: El grotesco criollo de Armando Discépolo</b:Title>
    <b:Publisher>Editorial Nueva Generación</b:Publisher>
    <b:City>Buenos Aires</b:City>
    <b:Year>2004</b:Year>
    <b:RefOrder>3</b:RefOrder>
  </b:Source>
  <b:Source>
    <b:Tag>Vin73</b:Tag>
    <b:SourceType>Book</b:SourceType>
    <b:Guid>{4EAB4C26-B3B9-DB4B-BD62-04A9CB5A16BE}</b:Guid>
    <b:LCID>uz-Cyrl-UZ</b:LCID>
    <b:Author>
      <b:Author>
        <b:NameList>
          <b:Person>
            <b:Last>Viñas</b:Last>
            <b:First>D.</b:First>
          </b:Person>
        </b:NameList>
      </b:Author>
    </b:Author>
    <b:Title>Grotesco, inmigración y fracaso: Armando Discépolo</b:Title>
    <b:City>Buenos Aires</b:City>
    <b:Publisher>Corregidor</b:Publisher>
    <b:Year>1973</b:Year>
    <b:RefOrder>4</b:RefOrder>
  </b:Source>
</b:Sources>
</file>

<file path=customXml/itemProps1.xml><?xml version="1.0" encoding="utf-8"?>
<ds:datastoreItem xmlns:ds="http://schemas.openxmlformats.org/officeDocument/2006/customXml" ds:itemID="{6E6F1EF9-EBDE-184E-A116-246FAF56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588</Words>
  <Characters>3358</Characters>
  <Application>Microsoft Macintosh Word</Application>
  <DocSecurity>0</DocSecurity>
  <Lines>27</Lines>
  <Paragraphs>7</Paragraphs>
  <ScaleCrop>false</ScaleCrop>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Filbert Macadamia</dc:creator>
  <cp:keywords/>
  <dc:description/>
  <cp:lastModifiedBy>Stephen Ross</cp:lastModifiedBy>
  <cp:revision>6</cp:revision>
  <dcterms:created xsi:type="dcterms:W3CDTF">2015-09-27T21:31:00Z</dcterms:created>
  <dcterms:modified xsi:type="dcterms:W3CDTF">2015-10-02T20:16:00Z</dcterms:modified>
</cp:coreProperties>
</file>