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3A1301FD395B40A3263F3A3AA224D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29D45475AADAD4FB37BC54D3A036C9E"/>
            </w:placeholder>
            <w:text/>
          </w:sdtPr>
          <w:sdtContent>
            <w:tc>
              <w:tcPr>
                <w:tcW w:w="2073" w:type="dxa"/>
              </w:tcPr>
              <w:p w:rsidR="00B574C9" w:rsidRDefault="00477427" w:rsidP="00922950">
                <w:proofErr w:type="spellStart"/>
                <w:r w:rsidRPr="00D242FC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Soyica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83D443B7CD66D4CA30CEF2EC5C0F32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E2D8D683EA504A846C867C505B33E7"/>
            </w:placeholder>
            <w:text/>
          </w:sdtPr>
          <w:sdtContent>
            <w:tc>
              <w:tcPr>
                <w:tcW w:w="2642" w:type="dxa"/>
              </w:tcPr>
              <w:p w:rsidR="00B574C9" w:rsidRDefault="00477427" w:rsidP="00922950">
                <w:r w:rsidRPr="00F2462E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Colbert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A07F2C7E7D9EF49975E4919769347B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32363BBE9263A4B91911C3A85AEC2D1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477427" w:rsidP="00B574C9">
                <w:r w:rsidRPr="007F273D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CA" w:eastAsia="ja-JP"/>
                  </w:rPr>
                  <w:t>Georgetown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bookmarkStart w:id="0" w:name="_GoBack" w:displacedByCustomXml="next"/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F3D26048D7732C4D8938AC308614BFCF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77427" w:rsidP="003F0D73">
                <w:pPr>
                  <w:rPr>
                    <w:b/>
                  </w:rPr>
                </w:pPr>
                <w:r w:rsidRPr="0042088C">
                  <w:rPr>
                    <w:rFonts w:ascii="Times New Roman" w:eastAsiaTheme="minorEastAsia" w:hAnsi="Times New Roman" w:cs="Times New Roman"/>
                    <w:sz w:val="24"/>
                    <w:szCs w:val="24"/>
                    <w:lang w:val="en-US"/>
                  </w:rPr>
                  <w:t>HANSBERRY, LORRAINE (1930-1965)</w:t>
                </w:r>
              </w:p>
            </w:tc>
          </w:sdtContent>
        </w:sdt>
        <w:bookmarkEnd w:id="0" w:displacedByCustomXml="prev"/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C658562071C9564A86699685713982E4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1318C112D9608F46A5745C39F1FE036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77427" w:rsidRPr="00FE2C5F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EB6C81">
                  <w:rPr>
                    <w:rFonts w:ascii="Times New Roman" w:hAnsi="Times New Roman" w:cs="Times New Roman"/>
                  </w:rPr>
                  <w:t xml:space="preserve">Born in Chicago in 1930, </w:t>
                </w:r>
                <w:r w:rsidRPr="008F4DEF">
                  <w:rPr>
                    <w:rFonts w:ascii="Times New Roman" w:hAnsi="Times New Roman" w:cs="Times New Roman"/>
                  </w:rPr>
                  <w:t xml:space="preserve">Lorraine Hansberry made history when her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premiered on Broadway in 1959 as the first work by an African American woman to appear on the Great White Way. Realist in style,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engage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8F4DEF">
                  <w:rPr>
                    <w:rFonts w:ascii="Times New Roman" w:hAnsi="Times New Roman" w:cs="Times New Roman"/>
                  </w:rPr>
                  <w:t xml:space="preserve"> with modern American drama’s investigation of the salience of the American Dream in the context of the Cold War, situating the deferred dreaming of the Younger family within a long history of foreclosed desire and possibility. Hansberry </w:t>
                </w:r>
                <w:r>
                  <w:rPr>
                    <w:rFonts w:ascii="Times New Roman" w:hAnsi="Times New Roman" w:cs="Times New Roman"/>
                  </w:rPr>
                  <w:t xml:space="preserve">remains </w:t>
                </w:r>
                <w:r w:rsidRPr="008F4DEF">
                  <w:rPr>
                    <w:rFonts w:ascii="Times New Roman" w:hAnsi="Times New Roman" w:cs="Times New Roman"/>
                  </w:rPr>
                  <w:t xml:space="preserve">best-known for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 xml:space="preserve">but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play </w:t>
                </w:r>
                <w:r>
                  <w:rPr>
                    <w:rFonts w:ascii="Times New Roman" w:hAnsi="Times New Roman" w:cs="Times New Roman"/>
                  </w:rPr>
                  <w:t xml:space="preserve">both </w:t>
                </w:r>
                <w:r w:rsidRPr="008F4DEF">
                  <w:rPr>
                    <w:rFonts w:ascii="Times New Roman" w:hAnsi="Times New Roman" w:cs="Times New Roman"/>
                  </w:rPr>
                  <w:t xml:space="preserve">exemplifies </w:t>
                </w:r>
                <w:r>
                  <w:rPr>
                    <w:rFonts w:ascii="Times New Roman" w:hAnsi="Times New Roman" w:cs="Times New Roman"/>
                  </w:rPr>
                  <w:t>and</w:t>
                </w:r>
                <w:r w:rsidRPr="008F4DEF">
                  <w:rPr>
                    <w:rFonts w:ascii="Times New Roman" w:hAnsi="Times New Roman" w:cs="Times New Roman"/>
                  </w:rPr>
                  <w:t xml:space="preserve"> overshadows her other accomplishments as a black lesbian artist-activist, only gesturing towards the expansive political vision of her work as a whole, including her exploration of slavery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 xml:space="preserve">(1960), her treatment of apocalypse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What Use Are Flowers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</w:t>
                </w:r>
                <w:r>
                  <w:rPr>
                    <w:rFonts w:ascii="Times New Roman" w:hAnsi="Times New Roman" w:cs="Times New Roman"/>
                  </w:rPr>
                  <w:t>962</w:t>
                </w:r>
                <w:r w:rsidRPr="008F4DEF">
                  <w:rPr>
                    <w:rFonts w:ascii="Times New Roman" w:hAnsi="Times New Roman" w:cs="Times New Roman"/>
                  </w:rPr>
                  <w:t xml:space="preserve">), and her consideration of black freedom movements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>(19</w:t>
                </w:r>
                <w:r>
                  <w:rPr>
                    <w:rFonts w:ascii="Times New Roman" w:hAnsi="Times New Roman" w:cs="Times New Roman"/>
                  </w:rPr>
                  <w:t>64</w:t>
                </w:r>
                <w:r w:rsidRPr="008F4DEF">
                  <w:rPr>
                    <w:rFonts w:ascii="Times New Roman" w:hAnsi="Times New Roman" w:cs="Times New Roman"/>
                  </w:rPr>
                  <w:t xml:space="preserve">)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The Movement: A Documentary of a Struggle for Equality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(1964)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E85A05" w:rsidRDefault="00E85A05" w:rsidP="00E85A05"/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65F81DA110E0B4BB9CF9849686A1A1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EB6C81">
                  <w:rPr>
                    <w:rFonts w:ascii="Times New Roman" w:hAnsi="Times New Roman" w:cs="Times New Roman"/>
                  </w:rPr>
                  <w:t xml:space="preserve">Born in Chicago in 1930, </w:t>
                </w:r>
                <w:r w:rsidRPr="008F4DEF">
                  <w:rPr>
                    <w:rFonts w:ascii="Times New Roman" w:hAnsi="Times New Roman" w:cs="Times New Roman"/>
                  </w:rPr>
                  <w:t xml:space="preserve">Lorraine Hansberry made history when her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premiered on Broadway in 1959 as the first work by an African American woman to appear on the Great White Way. Realist in style,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engage</w:t>
                </w:r>
                <w:r>
                  <w:rPr>
                    <w:rFonts w:ascii="Times New Roman" w:hAnsi="Times New Roman" w:cs="Times New Roman"/>
                  </w:rPr>
                  <w:t>d</w:t>
                </w:r>
                <w:r w:rsidRPr="008F4DEF">
                  <w:rPr>
                    <w:rFonts w:ascii="Times New Roman" w:hAnsi="Times New Roman" w:cs="Times New Roman"/>
                  </w:rPr>
                  <w:t xml:space="preserve"> with modern American drama’s investigation of the salience of the American Dream in the context of the Cold War, situating the deferred dreaming of the Younger family within a long history of foreclosed desire and possibility. Hansberry </w:t>
                </w:r>
                <w:r>
                  <w:rPr>
                    <w:rFonts w:ascii="Times New Roman" w:hAnsi="Times New Roman" w:cs="Times New Roman"/>
                  </w:rPr>
                  <w:t xml:space="preserve">remains </w:t>
                </w:r>
                <w:r w:rsidRPr="008F4DEF">
                  <w:rPr>
                    <w:rFonts w:ascii="Times New Roman" w:hAnsi="Times New Roman" w:cs="Times New Roman"/>
                  </w:rPr>
                  <w:t xml:space="preserve">best-known for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</w:t>
                </w:r>
                <w:r>
                  <w:rPr>
                    <w:rFonts w:ascii="Times New Roman" w:hAnsi="Times New Roman" w:cs="Times New Roman"/>
                  </w:rPr>
                  <w:t xml:space="preserve">but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play </w:t>
                </w:r>
                <w:r>
                  <w:rPr>
                    <w:rFonts w:ascii="Times New Roman" w:hAnsi="Times New Roman" w:cs="Times New Roman"/>
                  </w:rPr>
                  <w:t xml:space="preserve">both </w:t>
                </w:r>
                <w:r w:rsidRPr="008F4DEF">
                  <w:rPr>
                    <w:rFonts w:ascii="Times New Roman" w:hAnsi="Times New Roman" w:cs="Times New Roman"/>
                  </w:rPr>
                  <w:t xml:space="preserve">exemplifies </w:t>
                </w:r>
                <w:r>
                  <w:rPr>
                    <w:rFonts w:ascii="Times New Roman" w:hAnsi="Times New Roman" w:cs="Times New Roman"/>
                  </w:rPr>
                  <w:t>and</w:t>
                </w:r>
                <w:r w:rsidRPr="008F4DEF">
                  <w:rPr>
                    <w:rFonts w:ascii="Times New Roman" w:hAnsi="Times New Roman" w:cs="Times New Roman"/>
                  </w:rPr>
                  <w:t xml:space="preserve"> overshadows her other accomplishments as a black lesbian artist-activist, only gesturing towards the expansive political vision of her work as a whole, including her exploration of slavery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 xml:space="preserve">(1960), her treatment of apocalypse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What Use Are Flowers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</w:t>
                </w:r>
                <w:r>
                  <w:rPr>
                    <w:rFonts w:ascii="Times New Roman" w:hAnsi="Times New Roman" w:cs="Times New Roman"/>
                  </w:rPr>
                  <w:t>962</w:t>
                </w:r>
                <w:r w:rsidRPr="008F4DEF">
                  <w:rPr>
                    <w:rFonts w:ascii="Times New Roman" w:hAnsi="Times New Roman" w:cs="Times New Roman"/>
                  </w:rPr>
                  <w:t xml:space="preserve">), and her consideration of black freedom movements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>(19</w:t>
                </w:r>
                <w:r>
                  <w:rPr>
                    <w:rFonts w:ascii="Times New Roman" w:hAnsi="Times New Roman" w:cs="Times New Roman"/>
                  </w:rPr>
                  <w:t>64</w:t>
                </w:r>
                <w:r w:rsidRPr="008F4DEF">
                  <w:rPr>
                    <w:rFonts w:ascii="Times New Roman" w:hAnsi="Times New Roman" w:cs="Times New Roman"/>
                  </w:rPr>
                  <w:t xml:space="preserve">)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The Movement: A Documentary of a Struggle for Equality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 (1964)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.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</w:p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477427">
                  <w:rPr>
                    <w:rFonts w:ascii="Times New Roman" w:hAnsi="Times New Roman" w:cs="Times New Roman"/>
                  </w:rPr>
                  <w:t>Lorraine Hansberry.png</w:t>
                </w:r>
              </w:p>
              <w:p w:rsidR="00477427" w:rsidRDefault="00477427" w:rsidP="0047742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Lorraine Hansberry</w:t>
                </w:r>
              </w:p>
              <w:p w:rsidR="00477427" w:rsidRPr="00FE2C5F" w:rsidRDefault="00477427" w:rsidP="0047742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Source: </w:t>
                </w:r>
                <w:r>
                  <w:rPr>
                    <w:rFonts w:ascii="Times New Roman" w:hAnsi="Times New Roman" w:cs="Times New Roman"/>
                  </w:rPr>
                  <w:t xml:space="preserve">New York Public Library digital Collections: </w:t>
                </w:r>
                <w:r w:rsidRPr="000E0305">
                  <w:rPr>
                    <w:rFonts w:ascii="Times New Roman" w:hAnsi="Times New Roman" w:cs="Times New Roman"/>
                  </w:rPr>
                  <w:t>http://digitalcollections.nypl.org/items/608ce970-d5e2-0130-9442-58d385a7b928</w:t>
                </w:r>
              </w:p>
              <w:p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A Raisin in the Sun </w:t>
                </w:r>
                <w:r w:rsidRPr="008F4DEF">
                  <w:rPr>
                    <w:rFonts w:ascii="Times New Roman" w:hAnsi="Times New Roman" w:cs="Times New Roman"/>
                  </w:rPr>
                  <w:t xml:space="preserve">demonstrates Hansberry’s early and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ongoing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interest in black internationalism and coalition-formation across the diaspora. </w:t>
                </w:r>
                <w:r>
                  <w:rPr>
                    <w:rFonts w:ascii="Times New Roman" w:hAnsi="Times New Roman" w:cs="Times New Roman"/>
                  </w:rPr>
                  <w:t>The</w:t>
                </w:r>
                <w:r w:rsidRPr="008F4DEF">
                  <w:rPr>
                    <w:rFonts w:ascii="Times New Roman" w:hAnsi="Times New Roman" w:cs="Times New Roman"/>
                  </w:rPr>
                  <w:t xml:space="preserve"> niece of Africanist scholar Leon Hansberry</w:t>
                </w:r>
                <w:r>
                  <w:rPr>
                    <w:rFonts w:ascii="Times New Roman" w:hAnsi="Times New Roman" w:cs="Times New Roman"/>
                  </w:rPr>
                  <w:t xml:space="preserve">, she </w:t>
                </w:r>
                <w:r w:rsidRPr="008F4DEF">
                  <w:rPr>
                    <w:rFonts w:ascii="Times New Roman" w:hAnsi="Times New Roman" w:cs="Times New Roman"/>
                  </w:rPr>
                  <w:t>moved to New York after a year of study at the University of Wisconsin</w:t>
                </w:r>
                <w:r w:rsidRPr="008F4DEF" w:rsidDel="00AD6F50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>and began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 less conventional form of education, working for Paul Robeson’s magazine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Freedom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covering, among other stories, the Kenyan independence movement. Her early work as a journalist informed the characterization of the African student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Asagai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in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, but also shaped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lastRenderedPageBreak/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, one of her final plays. Bookended by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, Hansberry’s major artistic work reveals a feminist impulse to destabilize categories of race, gender, and sexuality and a persistent investigation of the possibilities and limitations of building black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diasporic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and interracial communities both locally and globally, a consideration foregrounded in her 1964 play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Sign in Sidney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Brustein’s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 xml:space="preserve"> Window</w:t>
                </w:r>
                <w:r>
                  <w:rPr>
                    <w:rFonts w:ascii="Times New Roman" w:hAnsi="Times New Roman" w:cs="Times New Roman"/>
                  </w:rPr>
                  <w:t>, which depicts the struggles of the eponymous protagonist to sustain his marriage and manage the competing desires of his Bohemian community</w:t>
                </w:r>
                <w:r w:rsidRPr="008F4DEF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also demonstrate Hansberry’s recognition of the personal costs of enacting social change, her willingness to confront the impossibility of maintaining the status quo, and </w:t>
                </w:r>
                <w:r>
                  <w:rPr>
                    <w:rFonts w:ascii="Times New Roman" w:hAnsi="Times New Roman" w:cs="Times New Roman"/>
                  </w:rPr>
                  <w:t>a</w:t>
                </w:r>
                <w:r w:rsidRPr="008F4DEF">
                  <w:rPr>
                    <w:rFonts w:ascii="Times New Roman" w:hAnsi="Times New Roman" w:cs="Times New Roman"/>
                  </w:rPr>
                  <w:t xml:space="preserve"> resistance to mistaking winning a battle for winning the war against racial imperialism that produces ominous endings in both plays. Having survived the violence of desegregation when her </w:t>
                </w:r>
                <w:r>
                  <w:rPr>
                    <w:rFonts w:ascii="Times New Roman" w:hAnsi="Times New Roman" w:cs="Times New Roman"/>
                  </w:rPr>
                  <w:t xml:space="preserve">own </w:t>
                </w:r>
                <w:r w:rsidRPr="008F4DEF">
                  <w:rPr>
                    <w:rFonts w:ascii="Times New Roman" w:hAnsi="Times New Roman" w:cs="Times New Roman"/>
                  </w:rPr>
                  <w:t xml:space="preserve">childhood </w:t>
                </w:r>
                <w:r>
                  <w:rPr>
                    <w:rFonts w:ascii="Times New Roman" w:hAnsi="Times New Roman" w:cs="Times New Roman"/>
                  </w:rPr>
                  <w:t>home</w:t>
                </w:r>
                <w:r w:rsidRPr="008F4DEF">
                  <w:rPr>
                    <w:rFonts w:ascii="Times New Roman" w:hAnsi="Times New Roman" w:cs="Times New Roman"/>
                  </w:rPr>
                  <w:t xml:space="preserve"> was vandalized, Hansberry knew well</w:t>
                </w:r>
                <w:r>
                  <w:rPr>
                    <w:rFonts w:ascii="Times New Roman" w:hAnsi="Times New Roman" w:cs="Times New Roman"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 xml:space="preserve">the costs of </w:t>
                </w:r>
                <w:r>
                  <w:rPr>
                    <w:rFonts w:ascii="Times New Roman" w:hAnsi="Times New Roman" w:cs="Times New Roman"/>
                  </w:rPr>
                  <w:t>‘</w:t>
                </w:r>
                <w:r w:rsidRPr="008F4DEF">
                  <w:rPr>
                    <w:rFonts w:ascii="Times New Roman" w:hAnsi="Times New Roman" w:cs="Times New Roman"/>
                  </w:rPr>
                  <w:t>moving up,</w:t>
                </w:r>
                <w:r>
                  <w:rPr>
                    <w:rFonts w:ascii="Times New Roman" w:hAnsi="Times New Roman" w:cs="Times New Roman"/>
                  </w:rPr>
                  <w:t>’</w:t>
                </w:r>
                <w:r w:rsidRPr="008F4DEF">
                  <w:rPr>
                    <w:rFonts w:ascii="Times New Roman" w:hAnsi="Times New Roman" w:cs="Times New Roman"/>
                  </w:rPr>
                  <w:t xml:space="preserve"> and while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 w:rsidRPr="008F4DEF">
                  <w:rPr>
                    <w:rFonts w:ascii="Times New Roman" w:hAnsi="Times New Roman" w:cs="Times New Roman"/>
                  </w:rPr>
                  <w:t xml:space="preserve"> ends with the Youngers moving to a white </w:t>
                </w:r>
                <w:proofErr w:type="spellStart"/>
                <w:r w:rsidRPr="008F4DEF">
                  <w:rPr>
                    <w:rFonts w:ascii="Times New Roman" w:hAnsi="Times New Roman" w:cs="Times New Roman"/>
                  </w:rPr>
                  <w:t>neighborhood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that is ostensibly a better environment for the family, the play also reveals that other efforts to desegregate have been met with violence. </w:t>
                </w:r>
              </w:p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keepNext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File: </w:t>
                </w:r>
                <w:r w:rsidRPr="00477427">
                  <w:rPr>
                    <w:rFonts w:ascii="Times New Roman" w:hAnsi="Times New Roman" w:cs="Times New Roman"/>
                  </w:rPr>
                  <w:t>A Raisin in the Sun.png</w:t>
                </w:r>
              </w:p>
              <w:p w:rsidR="00477427" w:rsidRDefault="00477427" w:rsidP="00477427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 w:rsidRPr="00125D91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r w:rsidRPr="00125D91">
                  <w:rPr>
                    <w:rFonts w:ascii="Times New Roman" w:eastAsia="Times New Roman" w:hAnsi="Times New Roman" w:cs="Times New Roman"/>
                  </w:rPr>
                  <w:t xml:space="preserve">Ruby Dee, Claudia McNeil, Glynn </w:t>
                </w:r>
                <w:proofErr w:type="spellStart"/>
                <w:r w:rsidRPr="00125D91">
                  <w:rPr>
                    <w:rFonts w:ascii="Times New Roman" w:eastAsia="Times New Roman" w:hAnsi="Times New Roman" w:cs="Times New Roman"/>
                  </w:rPr>
                  <w:t>Turman</w:t>
                </w:r>
                <w:proofErr w:type="spellEnd"/>
                <w:r w:rsidRPr="00125D91">
                  <w:rPr>
                    <w:rFonts w:ascii="Times New Roman" w:eastAsia="Times New Roman" w:hAnsi="Times New Roman" w:cs="Times New Roman"/>
                  </w:rPr>
                  <w:t xml:space="preserve">, Sidney Poitier and John Fielder in the 1959 production of </w:t>
                </w:r>
                <w:r w:rsidRPr="00125D91">
                  <w:rPr>
                    <w:rFonts w:ascii="Times New Roman" w:eastAsia="Times New Roman" w:hAnsi="Times New Roman" w:cs="Times New Roman"/>
                    <w:i/>
                  </w:rPr>
                  <w:t>A Raisin in the Sun</w:t>
                </w:r>
              </w:p>
              <w:p w:rsidR="00477427" w:rsidRPr="00125D91" w:rsidRDefault="00477427" w:rsidP="00477427">
                <w:pPr>
                  <w:rPr>
                    <w:rFonts w:ascii="Times New Roman" w:eastAsia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>Source</w:t>
                </w:r>
                <w:proofErr w:type="gramStart"/>
                <w:r>
                  <w:rPr>
                    <w:rFonts w:ascii="Times New Roman" w:hAnsi="Times New Roman" w:cs="Times New Roman"/>
                  </w:rPr>
                  <w:t xml:space="preserve">: </w:t>
                </w:r>
                <w:r w:rsidRPr="00125D91">
                  <w:rPr>
                    <w:rFonts w:ascii="Times New Roman" w:eastAsia="Times New Roman" w:hAnsi="Times New Roman" w:cs="Times New Roman"/>
                  </w:rPr>
                  <w:t>:</w:t>
                </w:r>
                <w:proofErr w:type="gramEnd"/>
                <w:r w:rsidRPr="00125D91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  <w:hyperlink r:id="rId9" w:history="1">
                  <w:r w:rsidRPr="00125D91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http://en.wikipedia.org/wiki/File:A_Raisin_in_the_Sun_1959.JPG</w:t>
                  </w:r>
                </w:hyperlink>
                <w:r w:rsidRPr="00125D91">
                  <w:rPr>
                    <w:rFonts w:ascii="Times New Roman" w:eastAsia="Times New Roman" w:hAnsi="Times New Roman" w:cs="Times New Roman"/>
                  </w:rPr>
                  <w:t xml:space="preserve"> </w:t>
                </w:r>
              </w:p>
              <w:p w:rsidR="00477427" w:rsidRPr="00125D91" w:rsidRDefault="00477427" w:rsidP="00477427">
                <w:pPr>
                  <w:rPr>
                    <w:rFonts w:ascii="Times New Roman" w:eastAsia="Times New Roman" w:hAnsi="Times New Roman" w:cs="Times New Roman"/>
                  </w:rPr>
                </w:pPr>
                <w:r w:rsidRPr="00125D91">
                  <w:rPr>
                    <w:rFonts w:ascii="Times New Roman" w:eastAsia="Times New Roman" w:hAnsi="Times New Roman" w:cs="Times New Roman"/>
                  </w:rPr>
                  <w:t>Also available at:</w:t>
                </w:r>
              </w:p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  <w:hyperlink r:id="rId10" w:history="1">
                  <w:r w:rsidRPr="00125D91">
                    <w:rPr>
                      <w:rStyle w:val="Hyperlink"/>
                      <w:rFonts w:ascii="Times New Roman" w:eastAsia="Times New Roman" w:hAnsi="Times New Roman" w:cs="Times New Roman"/>
                    </w:rPr>
                    <w:t>http://learning.blogs.nytimes.com/2014/03/13/text-to-text-a-raisin-in-the-sun-and-discrimination-in-housing-against-nonwhites-persists-quietly/?_php=true&amp;_type=blogs&amp;_r=0</w:t>
                  </w:r>
                </w:hyperlink>
              </w:p>
              <w:p w:rsidR="00477427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  <w:r w:rsidRPr="008F4DEF">
                  <w:rPr>
                    <w:rFonts w:ascii="Times New Roman" w:hAnsi="Times New Roman" w:cs="Times New Roman"/>
                  </w:rPr>
                  <w:t xml:space="preserve">Similarly, although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</w:rPr>
                  <w:t xml:space="preserve"> ends with the fires of an independence movement burning in an imagined African country, the struggle for self-governance turns brother against brother, resulting in the death of one at the hands of the other. 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The struggle for community depicted in all of Hansberry’s work reflects a deep feeling of alienation emblematic of modernism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,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while at the same time her work maintains the necessity </w:t>
                </w:r>
                <w: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of that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 </w:t>
                </w:r>
                <w:r w:rsidRPr="0092351E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>struggle</w:t>
                </w:r>
                <w:r w:rsidRPr="00033397"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  <w:t xml:space="preserve">. </w:t>
                </w:r>
              </w:p>
              <w:p w:rsidR="00477427" w:rsidRDefault="00477427" w:rsidP="00477427">
                <w:pPr>
                  <w:rPr>
                    <w:rFonts w:ascii="Times New Roman" w:eastAsia="Times New Roman" w:hAnsi="Times New Roman" w:cs="Times New Roman"/>
                    <w:color w:val="222222"/>
                    <w:shd w:val="clear" w:color="auto" w:fill="FFFFFF"/>
                  </w:rPr>
                </w:pPr>
              </w:p>
              <w:p w:rsidR="00477427" w:rsidRDefault="00477427" w:rsidP="00477427">
                <w:pPr>
                  <w:pStyle w:val="Heading1"/>
                  <w:rPr>
                    <w:shd w:val="clear" w:color="auto" w:fill="FFFFFF"/>
                  </w:rPr>
                </w:pPr>
                <w:r w:rsidRPr="008F4DEF">
                  <w:rPr>
                    <w:shd w:val="clear" w:color="auto" w:fill="FFFFFF"/>
                  </w:rPr>
                  <w:t xml:space="preserve">Major Works </w:t>
                </w:r>
              </w:p>
              <w:p w:rsidR="00477427" w:rsidRDefault="00477427" w:rsidP="00477427">
                <w:pPr>
                  <w:rPr>
                    <w:rFonts w:ascii="Times New Roman" w:eastAsia="Times New Roman" w:hAnsi="Times New Roman" w:cs="Times New Roman"/>
                    <w:b/>
                    <w:color w:val="222222"/>
                    <w:shd w:val="clear" w:color="auto" w:fill="FFFFFF"/>
                  </w:rPr>
                </w:pPr>
              </w:p>
              <w:p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Hansberry, Lorraine. (1994) 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Les </w:t>
                </w:r>
                <w:proofErr w:type="spellStart"/>
                <w:r w:rsidRPr="008F4DEF">
                  <w:rPr>
                    <w:rFonts w:ascii="Times New Roman" w:hAnsi="Times New Roman" w:cs="Times New Roman"/>
                    <w:i/>
                  </w:rPr>
                  <w:t>Blancs</w:t>
                </w:r>
                <w:proofErr w:type="spellEnd"/>
                <w:r w:rsidRPr="008F4DEF">
                  <w:rPr>
                    <w:rFonts w:ascii="Times New Roman" w:hAnsi="Times New Roman" w:cs="Times New Roman"/>
                    <w:i/>
                  </w:rPr>
                  <w:t>: The Collected Last Plays</w:t>
                </w:r>
                <w:r>
                  <w:rPr>
                    <w:rFonts w:ascii="Times New Roman" w:hAnsi="Times New Roman" w:cs="Times New Roman"/>
                  </w:rPr>
                  <w:t xml:space="preserve">, </w:t>
                </w:r>
                <w:r w:rsidRPr="008F4DEF">
                  <w:rPr>
                    <w:rFonts w:ascii="Times New Roman" w:hAnsi="Times New Roman" w:cs="Times New Roman"/>
                  </w:rPr>
                  <w:t>New York: Vintage.</w:t>
                </w:r>
              </w:p>
              <w:p w:rsidR="00477427" w:rsidRPr="008F4DEF" w:rsidRDefault="00477427" w:rsidP="00477427">
                <w:pPr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A Raisin in the Sun</w:t>
                </w:r>
                <w:r>
                  <w:rPr>
                    <w:rFonts w:ascii="Times New Roman" w:hAnsi="Times New Roman" w:cs="Times New Roman"/>
                  </w:rPr>
                  <w:t xml:space="preserve"> (1959).</w:t>
                </w:r>
              </w:p>
              <w:p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The Drinking Gourd </w:t>
                </w:r>
                <w:r w:rsidRPr="008F4DEF">
                  <w:rPr>
                    <w:rFonts w:ascii="Times New Roman" w:hAnsi="Times New Roman" w:cs="Times New Roman"/>
                  </w:rPr>
                  <w:t>(1960)</w:t>
                </w:r>
                <w:r>
                  <w:rPr>
                    <w:rFonts w:ascii="Times New Roman" w:hAnsi="Times New Roman" w:cs="Times New Roman"/>
                  </w:rPr>
                  <w:t>.</w:t>
                </w:r>
              </w:p>
              <w:p w:rsidR="00477427" w:rsidRDefault="00477427" w:rsidP="00477427">
                <w:pPr>
                  <w:pStyle w:val="EndnoteText"/>
                  <w:contextualSpacing/>
                  <w:rPr>
                    <w:rFonts w:ascii="Times New Roman" w:hAnsi="Times New Roman" w:cs="Times New Roman"/>
                  </w:rPr>
                </w:pPr>
              </w:p>
              <w:p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  <w:r w:rsidRPr="008F4DEF">
                  <w:rPr>
                    <w:i/>
                  </w:rPr>
                  <w:t xml:space="preserve">The Sign in Sidney </w:t>
                </w:r>
                <w:proofErr w:type="spellStart"/>
                <w:r w:rsidRPr="008F4DEF">
                  <w:rPr>
                    <w:i/>
                  </w:rPr>
                  <w:t>Brustein’s</w:t>
                </w:r>
                <w:proofErr w:type="spellEnd"/>
                <w:r w:rsidRPr="008F4DEF">
                  <w:rPr>
                    <w:i/>
                  </w:rPr>
                  <w:t xml:space="preserve"> Window</w:t>
                </w:r>
                <w:r>
                  <w:t xml:space="preserve"> (1964).</w:t>
                </w:r>
              </w:p>
              <w:p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</w:p>
              <w:p w:rsidR="00477427" w:rsidRPr="000E0305" w:rsidRDefault="00477427" w:rsidP="00477427">
                <w:pPr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>The Movement: Documentary of a Struggle for Equality</w:t>
                </w:r>
                <w:r>
                  <w:rPr>
                    <w:rFonts w:ascii="Times New Roman" w:hAnsi="Times New Roman" w:cs="Times New Roman"/>
                  </w:rPr>
                  <w:t xml:space="preserve"> (1964). </w:t>
                </w:r>
              </w:p>
              <w:p w:rsidR="00477427" w:rsidRDefault="00477427" w:rsidP="00477427">
                <w:pPr>
                  <w:pStyle w:val="FootnoteText"/>
                  <w:spacing w:before="0" w:after="0" w:line="240" w:lineRule="auto"/>
                  <w:ind w:firstLine="0"/>
                  <w:contextualSpacing/>
                </w:pPr>
              </w:p>
              <w:p w:rsidR="00477427" w:rsidRDefault="00477427" w:rsidP="00477427">
                <w:pPr>
                  <w:widowControl w:val="0"/>
                  <w:autoSpaceDE w:val="0"/>
                  <w:autoSpaceDN w:val="0"/>
                  <w:adjustRightInd w:val="0"/>
                  <w:ind w:right="-720"/>
                  <w:contextualSpacing/>
                  <w:rPr>
                    <w:rFonts w:ascii="Times New Roman" w:hAnsi="Times New Roman" w:cs="Times New Roman"/>
                  </w:rPr>
                </w:pPr>
                <w:r w:rsidRPr="008F4DEF">
                  <w:rPr>
                    <w:rFonts w:ascii="Times New Roman" w:hAnsi="Times New Roman" w:cs="Times New Roman"/>
                    <w:i/>
                  </w:rPr>
                  <w:t xml:space="preserve">To Be Young, Gifted and Black: </w:t>
                </w:r>
                <w:r>
                  <w:rPr>
                    <w:rFonts w:ascii="Times New Roman" w:hAnsi="Times New Roman" w:cs="Times New Roman"/>
                    <w:i/>
                  </w:rPr>
                  <w:t>An</w:t>
                </w:r>
                <w:r w:rsidRPr="008F4DEF">
                  <w:rPr>
                    <w:rFonts w:ascii="Times New Roman" w:hAnsi="Times New Roman" w:cs="Times New Roman"/>
                    <w:i/>
                  </w:rPr>
                  <w:t xml:space="preserve"> Informal Autobiography of Lorraine Hansberry</w:t>
                </w:r>
                <w:r>
                  <w:rPr>
                    <w:rFonts w:ascii="Times New Roman" w:hAnsi="Times New Roman" w:cs="Times New Roman"/>
                    <w:i/>
                  </w:rPr>
                  <w:t xml:space="preserve"> </w:t>
                </w:r>
                <w:r w:rsidRPr="008F4DEF">
                  <w:rPr>
                    <w:rFonts w:ascii="Times New Roman" w:hAnsi="Times New Roman" w:cs="Times New Roman"/>
                  </w:rPr>
                  <w:t xml:space="preserve"> </w:t>
                </w:r>
                <w:r>
                  <w:rPr>
                    <w:rFonts w:ascii="Times New Roman" w:hAnsi="Times New Roman" w:cs="Times New Roman"/>
                  </w:rPr>
                  <w:t xml:space="preserve">(adapted by Robert </w:t>
                </w:r>
                <w:proofErr w:type="spellStart"/>
                <w:r>
                  <w:rPr>
                    <w:rFonts w:ascii="Times New Roman" w:hAnsi="Times New Roman" w:cs="Times New Roman"/>
                  </w:rPr>
                  <w:t>Nemiroff</w:t>
                </w:r>
                <w:proofErr w:type="spellEnd"/>
                <w:r>
                  <w:rPr>
                    <w:rFonts w:ascii="Times New Roman" w:hAnsi="Times New Roman" w:cs="Times New Roman"/>
                  </w:rPr>
                  <w:t>) (1970).</w:t>
                </w:r>
              </w:p>
              <w:p w:rsidR="00477427" w:rsidRPr="008F4DEF" w:rsidRDefault="00477427" w:rsidP="00477427">
                <w:pPr>
                  <w:pStyle w:val="FootnoteText"/>
                  <w:spacing w:before="0" w:after="0" w:line="240" w:lineRule="auto"/>
                  <w:ind w:firstLine="0"/>
                </w:pPr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sdt>
            <w:sdtPr>
              <w:alias w:val="Further reading"/>
              <w:tag w:val="furtherReading"/>
              <w:id w:val="-1516217107"/>
              <w:placeholder>
                <w:docPart w:val="E2D5966BBDCDEB45AC1BBDE245B7AE0E"/>
              </w:placeholder>
            </w:sdtPr>
            <w:sdtEndPr/>
            <w:sdtContent>
              <w:p w:rsidR="00477427" w:rsidRPr="008F4DEF" w:rsidRDefault="00477427" w:rsidP="00477427">
                <w:sdt>
                  <w:sdtPr>
                    <w:id w:val="136795023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instrText xml:space="preserve"> CITATION Car91 \l 1033 </w:instrText>
                    </w:r>
                    <w: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 xml:space="preserve"> </w:t>
                    </w:r>
                    <w:r w:rsidRPr="00477427">
                      <w:rPr>
                        <w:rFonts w:ascii="Times New Roman" w:hAnsi="Times New Roman" w:cs="Times New Roman"/>
                        <w:noProof/>
                        <w:lang w:val="en-US"/>
                      </w:rPr>
                      <w:t>(Carter)</w:t>
                    </w:r>
                    <w:r>
                      <w:fldChar w:fldCharType="end"/>
                    </w:r>
                  </w:sdtContent>
                </w:sdt>
              </w:p>
              <w:p w:rsidR="00477427" w:rsidRPr="008F4DEF" w:rsidRDefault="00477427" w:rsidP="00477427">
                <w:pPr>
                  <w:pStyle w:val="FootnoteText"/>
                  <w:spacing w:before="0" w:after="0" w:line="240" w:lineRule="auto"/>
                  <w:ind w:firstLine="0"/>
                </w:pPr>
                <w:sdt>
                  <w:sdtPr>
                    <w:id w:val="-195276857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Theme="minorEastAsia"/>
                      </w:rPr>
                      <w:instrText xml:space="preserve"> CITATION Ela01 \l 1033 </w:instrText>
                    </w:r>
                    <w:r>
                      <w:fldChar w:fldCharType="separate"/>
                    </w:r>
                    <w:r w:rsidRPr="00477427">
                      <w:rPr>
                        <w:rFonts w:eastAsiaTheme="minorEastAsia"/>
                        <w:noProof/>
                      </w:rPr>
                      <w:t>(Elam Jr.)</w:t>
                    </w:r>
                    <w:r>
                      <w:fldChar w:fldCharType="end"/>
                    </w:r>
                  </w:sdtContent>
                </w:sdt>
              </w:p>
              <w:p w:rsidR="00477427" w:rsidRPr="008F4DEF" w:rsidRDefault="00477427" w:rsidP="00477427">
                <w:pPr>
                  <w:pStyle w:val="FootnoteText"/>
                  <w:spacing w:before="0" w:after="0" w:line="240" w:lineRule="auto"/>
                  <w:ind w:firstLine="0"/>
                </w:pPr>
                <w:sdt>
                  <w:sdtPr>
                    <w:id w:val="103369960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rFonts w:eastAsiaTheme="minorEastAsia"/>
                      </w:rPr>
                      <w:instrText xml:space="preserve"> CITATION Hig08 \l 1033 </w:instrText>
                    </w:r>
                    <w:r>
                      <w:fldChar w:fldCharType="separate"/>
                    </w:r>
                    <w:r w:rsidRPr="00477427">
                      <w:rPr>
                        <w:rFonts w:eastAsiaTheme="minorEastAsia"/>
                        <w:noProof/>
                      </w:rPr>
                      <w:t>(Higashida)</w:t>
                    </w:r>
                    <w:r>
                      <w:fldChar w:fldCharType="end"/>
                    </w:r>
                  </w:sdtContent>
                </w:sdt>
              </w:p>
              <w:p w:rsidR="00477427" w:rsidRPr="008F4DEF" w:rsidRDefault="00477427" w:rsidP="00477427">
                <w:pPr>
                  <w:pStyle w:val="EndnoteText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467865904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CITATION Wil87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477427">
                      <w:rPr>
                        <w:rFonts w:ascii="Times New Roman" w:hAnsi="Times New Roman" w:cs="Times New Roman"/>
                        <w:noProof/>
                      </w:rPr>
                      <w:t>(Wilkerson)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</w:p>
              <w:p w:rsidR="00477427" w:rsidRPr="008F4DEF" w:rsidRDefault="00477427" w:rsidP="00477427">
                <w:pPr>
                  <w:pStyle w:val="EndnoteText"/>
                  <w:rPr>
                    <w:rFonts w:ascii="Times New Roman" w:hAnsi="Times New Roman" w:cs="Times New Roman"/>
                  </w:rPr>
                </w:pPr>
                <w:sdt>
                  <w:sdtPr>
                    <w:rPr>
                      <w:rFonts w:ascii="Times New Roman" w:hAnsi="Times New Roman" w:cs="Times New Roman"/>
                    </w:rPr>
                    <w:id w:val="961309762"/>
                    <w:citation/>
                  </w:sdtPr>
                  <w:sdtContent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CITATION Wil83 \l 1033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Pr="00477427">
                      <w:rPr>
                        <w:rFonts w:ascii="Times New Roman" w:hAnsi="Times New Roman" w:cs="Times New Roman"/>
                        <w:noProof/>
                      </w:rPr>
                      <w:t>(Wilkerson, The Sighted Eyes and Feeling Heart of Lorraine Hansberry)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sdtContent>
                </w:sdt>
                <w:r w:rsidRPr="008F4DEF">
                  <w:rPr>
                    <w:rFonts w:ascii="Times New Roman" w:hAnsi="Times New Roman" w:cs="Times New Roman"/>
                  </w:rPr>
                  <w:t xml:space="preserve">. </w:t>
                </w:r>
              </w:p>
              <w:p w:rsidR="003235A7" w:rsidRDefault="00477427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27" w:rsidRDefault="00477427" w:rsidP="007A0D55">
      <w:pPr>
        <w:spacing w:after="0" w:line="240" w:lineRule="auto"/>
      </w:pPr>
      <w:r>
        <w:separator/>
      </w:r>
    </w:p>
  </w:endnote>
  <w:endnote w:type="continuationSeparator" w:id="0">
    <w:p w:rsidR="00477427" w:rsidRDefault="0047742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27" w:rsidRDefault="00477427" w:rsidP="007A0D55">
      <w:pPr>
        <w:spacing w:after="0" w:line="240" w:lineRule="auto"/>
      </w:pPr>
      <w:r>
        <w:separator/>
      </w:r>
    </w:p>
  </w:footnote>
  <w:footnote w:type="continuationSeparator" w:id="0">
    <w:p w:rsidR="00477427" w:rsidRDefault="0047742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2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77427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74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2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427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427"/>
    <w:rPr>
      <w:rFonts w:eastAsiaTheme="minorEastAsia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477427"/>
    <w:pPr>
      <w:spacing w:before="120" w:after="120" w:line="480" w:lineRule="auto"/>
      <w:ind w:firstLine="43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4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47742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77427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742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774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7742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427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774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427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427"/>
    <w:rPr>
      <w:rFonts w:eastAsiaTheme="minorEastAsia"/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rsid w:val="00477427"/>
    <w:pPr>
      <w:spacing w:before="120" w:after="120" w:line="480" w:lineRule="auto"/>
      <w:ind w:firstLine="432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7427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EndnoteText">
    <w:name w:val="endnote text"/>
    <w:basedOn w:val="Normal"/>
    <w:link w:val="EndnoteTextChar"/>
    <w:uiPriority w:val="99"/>
    <w:unhideWhenUsed/>
    <w:rsid w:val="00477427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77427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477427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77427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en.wikipedia.org/wiki/File:A_Raisin_in_the_Sun_1959.JPG" TargetMode="External"/><Relationship Id="rId10" Type="http://schemas.openxmlformats.org/officeDocument/2006/relationships/hyperlink" Target="http://learning.blogs.nytimes.com/2014/03/13/text-to-text-a-raisin-in-the-sun-and-discrimination-in-housing-against-nonwhites-persists-quietly/?_php=true&amp;_type=blogs&amp;_r=0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drianParadis:Desktop:RRoutledge%20Encyclopedia%20of%20Modernis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3A1301FD395B40A3263F3A3AA22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1BDA9-D9BA-4844-93DC-DB0B1220CDB2}"/>
      </w:docPartPr>
      <w:docPartBody>
        <w:p w:rsidR="00000000" w:rsidRDefault="004E117A">
          <w:pPr>
            <w:pStyle w:val="A93A1301FD395B40A3263F3A3AA224D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29D45475AADAD4FB37BC54D3A03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1FDF-10C6-B444-89B1-0C9D5654259E}"/>
      </w:docPartPr>
      <w:docPartBody>
        <w:p w:rsidR="00000000" w:rsidRDefault="004E117A">
          <w:pPr>
            <w:pStyle w:val="D29D45475AADAD4FB37BC54D3A036C9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83D443B7CD66D4CA30CEF2EC5C0F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903AA-7986-F942-82A1-ECD6C4E0C696}"/>
      </w:docPartPr>
      <w:docPartBody>
        <w:p w:rsidR="00000000" w:rsidRDefault="004E117A">
          <w:pPr>
            <w:pStyle w:val="483D443B7CD66D4CA30CEF2EC5C0F32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E2D8D683EA504A846C867C505B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80E9C-8266-5949-82BF-954585F04A99}"/>
      </w:docPartPr>
      <w:docPartBody>
        <w:p w:rsidR="00000000" w:rsidRDefault="004E117A">
          <w:pPr>
            <w:pStyle w:val="C0E2D8D683EA504A846C867C505B33E7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A07F2C7E7D9EF49975E491976934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AAF4-A893-E749-A55F-0281AA81BEDE}"/>
      </w:docPartPr>
      <w:docPartBody>
        <w:p w:rsidR="00000000" w:rsidRDefault="004E117A">
          <w:pPr>
            <w:pStyle w:val="9A07F2C7E7D9EF49975E4919769347B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32363BBE9263A4B91911C3A85AEC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6BF20-BB8A-3D4A-BE2B-DDBB6AC30C36}"/>
      </w:docPartPr>
      <w:docPartBody>
        <w:p w:rsidR="00000000" w:rsidRDefault="004E117A">
          <w:pPr>
            <w:pStyle w:val="D32363BBE9263A4B91911C3A85AEC2D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F3D26048D7732C4D8938AC308614B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EA019-DBC9-AC40-8D28-DD75B420CF6A}"/>
      </w:docPartPr>
      <w:docPartBody>
        <w:p w:rsidR="00000000" w:rsidRDefault="004E117A">
          <w:pPr>
            <w:pStyle w:val="F3D26048D7732C4D8938AC308614BFC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C658562071C9564A8669968571398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9E167-4BA4-A641-BBB0-739C76B205C8}"/>
      </w:docPartPr>
      <w:docPartBody>
        <w:p w:rsidR="00000000" w:rsidRDefault="004E117A">
          <w:pPr>
            <w:pStyle w:val="C658562071C9564A86699685713982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1318C112D9608F46A5745C39F1FE0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17710-B1BC-EA41-ADF6-8226098F28A9}"/>
      </w:docPartPr>
      <w:docPartBody>
        <w:p w:rsidR="00000000" w:rsidRDefault="004E117A">
          <w:pPr>
            <w:pStyle w:val="1318C112D9608F46A5745C39F1FE036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65F81DA110E0B4BB9CF9849686A1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4A20BC-927D-614E-8A81-F7092608C5DE}"/>
      </w:docPartPr>
      <w:docPartBody>
        <w:p w:rsidR="00000000" w:rsidRDefault="004E117A">
          <w:pPr>
            <w:pStyle w:val="665F81DA110E0B4BB9CF9849686A1A14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2D5966BBDCDEB45AC1BBDE245B7A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62EC2A-C841-8D43-8B6A-8399EA79DDCF}"/>
      </w:docPartPr>
      <w:docPartBody>
        <w:p w:rsidR="00000000" w:rsidRDefault="004E117A">
          <w:pPr>
            <w:pStyle w:val="E2D5966BBDCDEB45AC1BBDE245B7AE0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3A1301FD395B40A3263F3A3AA224D1">
    <w:name w:val="A93A1301FD395B40A3263F3A3AA224D1"/>
  </w:style>
  <w:style w:type="paragraph" w:customStyle="1" w:styleId="D29D45475AADAD4FB37BC54D3A036C9E">
    <w:name w:val="D29D45475AADAD4FB37BC54D3A036C9E"/>
  </w:style>
  <w:style w:type="paragraph" w:customStyle="1" w:styleId="483D443B7CD66D4CA30CEF2EC5C0F329">
    <w:name w:val="483D443B7CD66D4CA30CEF2EC5C0F329"/>
  </w:style>
  <w:style w:type="paragraph" w:customStyle="1" w:styleId="C0E2D8D683EA504A846C867C505B33E7">
    <w:name w:val="C0E2D8D683EA504A846C867C505B33E7"/>
  </w:style>
  <w:style w:type="paragraph" w:customStyle="1" w:styleId="9A07F2C7E7D9EF49975E4919769347B0">
    <w:name w:val="9A07F2C7E7D9EF49975E4919769347B0"/>
  </w:style>
  <w:style w:type="paragraph" w:customStyle="1" w:styleId="D32363BBE9263A4B91911C3A85AEC2D1">
    <w:name w:val="D32363BBE9263A4B91911C3A85AEC2D1"/>
  </w:style>
  <w:style w:type="paragraph" w:customStyle="1" w:styleId="F3D26048D7732C4D8938AC308614BFCF">
    <w:name w:val="F3D26048D7732C4D8938AC308614BFCF"/>
  </w:style>
  <w:style w:type="paragraph" w:customStyle="1" w:styleId="C658562071C9564A86699685713982E4">
    <w:name w:val="C658562071C9564A86699685713982E4"/>
  </w:style>
  <w:style w:type="paragraph" w:customStyle="1" w:styleId="1318C112D9608F46A5745C39F1FE036B">
    <w:name w:val="1318C112D9608F46A5745C39F1FE036B"/>
  </w:style>
  <w:style w:type="paragraph" w:customStyle="1" w:styleId="665F81DA110E0B4BB9CF9849686A1A14">
    <w:name w:val="665F81DA110E0B4BB9CF9849686A1A14"/>
  </w:style>
  <w:style w:type="paragraph" w:customStyle="1" w:styleId="E2D5966BBDCDEB45AC1BBDE245B7AE0E">
    <w:name w:val="E2D5966BBDCDEB45AC1BBDE245B7AE0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93A1301FD395B40A3263F3A3AA224D1">
    <w:name w:val="A93A1301FD395B40A3263F3A3AA224D1"/>
  </w:style>
  <w:style w:type="paragraph" w:customStyle="1" w:styleId="D29D45475AADAD4FB37BC54D3A036C9E">
    <w:name w:val="D29D45475AADAD4FB37BC54D3A036C9E"/>
  </w:style>
  <w:style w:type="paragraph" w:customStyle="1" w:styleId="483D443B7CD66D4CA30CEF2EC5C0F329">
    <w:name w:val="483D443B7CD66D4CA30CEF2EC5C0F329"/>
  </w:style>
  <w:style w:type="paragraph" w:customStyle="1" w:styleId="C0E2D8D683EA504A846C867C505B33E7">
    <w:name w:val="C0E2D8D683EA504A846C867C505B33E7"/>
  </w:style>
  <w:style w:type="paragraph" w:customStyle="1" w:styleId="9A07F2C7E7D9EF49975E4919769347B0">
    <w:name w:val="9A07F2C7E7D9EF49975E4919769347B0"/>
  </w:style>
  <w:style w:type="paragraph" w:customStyle="1" w:styleId="D32363BBE9263A4B91911C3A85AEC2D1">
    <w:name w:val="D32363BBE9263A4B91911C3A85AEC2D1"/>
  </w:style>
  <w:style w:type="paragraph" w:customStyle="1" w:styleId="F3D26048D7732C4D8938AC308614BFCF">
    <w:name w:val="F3D26048D7732C4D8938AC308614BFCF"/>
  </w:style>
  <w:style w:type="paragraph" w:customStyle="1" w:styleId="C658562071C9564A86699685713982E4">
    <w:name w:val="C658562071C9564A86699685713982E4"/>
  </w:style>
  <w:style w:type="paragraph" w:customStyle="1" w:styleId="1318C112D9608F46A5745C39F1FE036B">
    <w:name w:val="1318C112D9608F46A5745C39F1FE036B"/>
  </w:style>
  <w:style w:type="paragraph" w:customStyle="1" w:styleId="665F81DA110E0B4BB9CF9849686A1A14">
    <w:name w:val="665F81DA110E0B4BB9CF9849686A1A14"/>
  </w:style>
  <w:style w:type="paragraph" w:customStyle="1" w:styleId="E2D5966BBDCDEB45AC1BBDE245B7AE0E">
    <w:name w:val="E2D5966BBDCDEB45AC1BBDE245B7AE0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Car91</b:Tag>
    <b:SourceType>Book</b:SourceType>
    <b:Guid>{F385A6DB-BBAF-954E-B8A2-D827BC5A7704}</b:Guid>
    <b:Author>
      <b:Author>
        <b:NameList>
          <b:Person>
            <b:Last>Carter</b:Last>
            <b:First>Steven</b:First>
            <b:Middle>R</b:Middle>
          </b:Person>
        </b:NameList>
      </b:Author>
    </b:Author>
    <b:Title>Hansberry’s Drama: Commitment and Complexity</b:Title>
    <b:Publisher>University of Illinois Press</b:Publisher>
    <b:City>Urbana</b:City>
    <b:Year>1991</b:Year>
    <b:RefOrder>1</b:RefOrder>
  </b:Source>
  <b:Source>
    <b:Tag>Ela01</b:Tag>
    <b:SourceType>JournalArticle</b:SourceType>
    <b:Guid>{E9918BBF-8F18-3246-B3B8-6CC57BDB41E7}</b:Guid>
    <b:Author>
      <b:Author>
        <b:NameList>
          <b:Person>
            <b:Last>Elam Jr.</b:Last>
            <b:First>Harry</b:First>
            <b:Middle>J</b:Middle>
          </b:Person>
        </b:NameList>
      </b:Author>
    </b:Author>
    <b:Title>The Device of Race: An Introduction</b:Title>
    <b:Year>2001</b:Year>
    <b:Pages>3-16</b:Pages>
    <b:JournalName>African American Performance and Theater History</b:JournalName>
    <b:RefOrder>2</b:RefOrder>
  </b:Source>
  <b:Source>
    <b:Tag>Hig08</b:Tag>
    <b:SourceType>JournalArticle</b:SourceType>
    <b:Guid>{B8071A06-E84C-7E47-A153-9EB0680D0045}</b:Guid>
    <b:Author>
      <b:Author>
        <b:NameList>
          <b:Person>
            <b:Last>Higashida</b:Last>
            <b:First>Cheryl</b:First>
          </b:Person>
        </b:NameList>
      </b:Author>
    </b:Author>
    <b:Title>To Be(come) Young, Gay, and Black: Lorraine Hansberry’s Existentialist Routes to Anticolonialism</b:Title>
    <b:JournalName>American Quarterly</b:JournalName>
    <b:Year>2008</b:Year>
    <b:Pages>899-924</b:Pages>
    <b:RefOrder>3</b:RefOrder>
  </b:Source>
  <b:Source>
    <b:Tag>Wil87</b:Tag>
    <b:SourceType>JournalArticle</b:SourceType>
    <b:Guid>{822F7E9D-C4A2-CB45-A359-0BCC941FC46D}</b:Guid>
    <b:Author>
      <b:Author>
        <b:NameList>
          <b:Person>
            <b:Last>Wilkerson</b:Last>
            <b:First>Margaret</b:First>
            <b:Middle>B</b:Middle>
          </b:Person>
        </b:NameList>
      </b:Author>
    </b:Author>
    <b:Title>The Dark Vision of Lorraine Hansberry: Excerpts from a Literary  Biography</b:Title>
    <b:JournalName>Massachusetts Review</b:JournalName>
    <b:Year>1987</b:Year>
    <b:Pages>642-650</b:Pages>
    <b:RefOrder>4</b:RefOrder>
  </b:Source>
  <b:Source>
    <b:Tag>Wil83</b:Tag>
    <b:SourceType>JournalArticle</b:SourceType>
    <b:Guid>{10A824F0-53E4-EB4E-A8BC-801681240BE7}</b:Guid>
    <b:Author>
      <b:Author>
        <b:NameList>
          <b:Person>
            <b:Last>Wilkerson</b:Last>
            <b:First>Margaret</b:First>
            <b:Middle>B</b:Middle>
          </b:Person>
        </b:NameList>
      </b:Author>
    </b:Author>
    <b:Title>The Sighted Eyes and Feeling Heart of Lorraine Hansberry</b:Title>
    <b:JournalName>Black  American Literature Forum</b:JournalName>
    <b:Year>1983</b:Year>
    <b:Pages>8-13</b:Pages>
    <b:RefOrder>5</b:RefOrder>
  </b:Source>
</b:Sources>
</file>

<file path=customXml/itemProps1.xml><?xml version="1.0" encoding="utf-8"?>
<ds:datastoreItem xmlns:ds="http://schemas.openxmlformats.org/officeDocument/2006/customXml" ds:itemID="{7416E728-5ACE-044A-9CC6-4B90C2313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6</TotalTime>
  <Pages>3</Pages>
  <Words>903</Words>
  <Characters>5153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</cp:revision>
  <dcterms:created xsi:type="dcterms:W3CDTF">2015-10-19T03:31:00Z</dcterms:created>
  <dcterms:modified xsi:type="dcterms:W3CDTF">2015-10-19T03:42:00Z</dcterms:modified>
</cp:coreProperties>
</file>