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D7491B" w:rsidTr="00922950">
        <w:tc>
          <w:tcPr>
            <w:tcW w:w="491" w:type="dxa"/>
            <w:vMerge w:val="restart"/>
            <w:shd w:val="clear" w:color="auto" w:fill="A6A6A6" w:themeFill="background1" w:themeFillShade="A6"/>
            <w:textDirection w:val="btLr"/>
          </w:tcPr>
          <w:p w:rsidR="00B574C9" w:rsidRPr="00D7491B" w:rsidRDefault="00B574C9" w:rsidP="00CC586D">
            <w:pPr>
              <w:jc w:val="center"/>
              <w:rPr>
                <w:b/>
                <w:color w:val="FFFFFF" w:themeColor="background1"/>
                <w:sz w:val="24"/>
                <w:szCs w:val="24"/>
              </w:rPr>
            </w:pPr>
            <w:r w:rsidRPr="00D7491B">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E6BC8AB2FDEFC54BB7AEDCD9A1A3231C"/>
            </w:placeholder>
            <w:showingPlcHdr/>
            <w:dropDownList>
              <w:listItem w:displayText="Dr." w:value="Dr."/>
              <w:listItem w:displayText="Prof." w:value="Prof."/>
            </w:dropDownList>
          </w:sdtPr>
          <w:sdtEndPr/>
          <w:sdtContent>
            <w:tc>
              <w:tcPr>
                <w:tcW w:w="1259" w:type="dxa"/>
              </w:tcPr>
              <w:p w:rsidR="00B574C9" w:rsidRPr="00D7491B" w:rsidRDefault="00B574C9" w:rsidP="00CC586D">
                <w:pPr>
                  <w:jc w:val="center"/>
                  <w:rPr>
                    <w:b/>
                    <w:color w:val="FFFFFF" w:themeColor="background1"/>
                    <w:sz w:val="24"/>
                    <w:szCs w:val="24"/>
                  </w:rPr>
                </w:pPr>
                <w:r w:rsidRPr="00D7491B">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42C1719E2629EA47AB99574195F9F044"/>
            </w:placeholder>
            <w:text/>
          </w:sdtPr>
          <w:sdtContent>
            <w:tc>
              <w:tcPr>
                <w:tcW w:w="2073" w:type="dxa"/>
              </w:tcPr>
              <w:p w:rsidR="00B574C9" w:rsidRPr="00D7491B" w:rsidRDefault="00D7491B" w:rsidP="00922950">
                <w:pPr>
                  <w:rPr>
                    <w:sz w:val="24"/>
                    <w:szCs w:val="24"/>
                  </w:rPr>
                </w:pPr>
                <w:r w:rsidRPr="00D7491B">
                  <w:rPr>
                    <w:rFonts w:ascii="Times New Roman" w:eastAsiaTheme="minorEastAsia" w:hAnsi="Times New Roman" w:cs="Times New Roman"/>
                    <w:sz w:val="24"/>
                    <w:szCs w:val="24"/>
                    <w:lang w:val="en-CA" w:eastAsia="ja-JP"/>
                  </w:rPr>
                  <w:t>Judith</w:t>
                </w:r>
              </w:p>
            </w:tc>
          </w:sdtContent>
        </w:sdt>
        <w:sdt>
          <w:sdtPr>
            <w:rPr>
              <w:sz w:val="24"/>
              <w:szCs w:val="24"/>
            </w:rPr>
            <w:alias w:val="Middle name"/>
            <w:tag w:val="authorMiddleName"/>
            <w:id w:val="-2076034781"/>
            <w:placeholder>
              <w:docPart w:val="6A11D87F03A48742A7DE35A0B772867C"/>
            </w:placeholder>
            <w:showingPlcHdr/>
            <w:text/>
          </w:sdtPr>
          <w:sdtEndPr/>
          <w:sdtContent>
            <w:tc>
              <w:tcPr>
                <w:tcW w:w="2551" w:type="dxa"/>
              </w:tcPr>
              <w:p w:rsidR="00B574C9" w:rsidRPr="00D7491B" w:rsidRDefault="00B574C9" w:rsidP="00922950">
                <w:pPr>
                  <w:rPr>
                    <w:sz w:val="24"/>
                    <w:szCs w:val="24"/>
                  </w:rPr>
                </w:pPr>
                <w:r w:rsidRPr="00D7491B">
                  <w:rPr>
                    <w:rStyle w:val="PlaceholderText"/>
                    <w:sz w:val="24"/>
                    <w:szCs w:val="24"/>
                  </w:rPr>
                  <w:t>[Middle name]</w:t>
                </w:r>
              </w:p>
            </w:tc>
          </w:sdtContent>
        </w:sdt>
        <w:sdt>
          <w:sdtPr>
            <w:rPr>
              <w:sz w:val="24"/>
              <w:szCs w:val="24"/>
            </w:rPr>
            <w:alias w:val="Last name"/>
            <w:tag w:val="authorLastName"/>
            <w:id w:val="-1088529830"/>
            <w:placeholder>
              <w:docPart w:val="543DCE792C9ED34291250FA382BAF433"/>
            </w:placeholder>
            <w:text/>
          </w:sdtPr>
          <w:sdtContent>
            <w:tc>
              <w:tcPr>
                <w:tcW w:w="2642" w:type="dxa"/>
              </w:tcPr>
              <w:p w:rsidR="00B574C9" w:rsidRPr="00D7491B" w:rsidRDefault="00D7491B" w:rsidP="00922950">
                <w:pPr>
                  <w:rPr>
                    <w:sz w:val="24"/>
                    <w:szCs w:val="24"/>
                  </w:rPr>
                </w:pPr>
                <w:r w:rsidRPr="00D7491B">
                  <w:rPr>
                    <w:rFonts w:ascii="Times New Roman" w:eastAsiaTheme="minorEastAsia" w:hAnsi="Times New Roman" w:cs="Times New Roman"/>
                    <w:sz w:val="24"/>
                    <w:szCs w:val="24"/>
                    <w:lang w:val="en-CA" w:eastAsia="ja-JP"/>
                  </w:rPr>
                  <w:t>Stephens-Lorenz</w:t>
                </w:r>
              </w:p>
            </w:tc>
          </w:sdtContent>
        </w:sdt>
      </w:tr>
      <w:tr w:rsidR="00B574C9" w:rsidRPr="00D7491B" w:rsidTr="001A6A06">
        <w:trPr>
          <w:trHeight w:val="986"/>
        </w:trPr>
        <w:tc>
          <w:tcPr>
            <w:tcW w:w="491" w:type="dxa"/>
            <w:vMerge/>
            <w:shd w:val="clear" w:color="auto" w:fill="A6A6A6" w:themeFill="background1" w:themeFillShade="A6"/>
          </w:tcPr>
          <w:p w:rsidR="00B574C9" w:rsidRPr="00D7491B"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C90CFB8C5CB713408A282ECF512161E7"/>
            </w:placeholder>
            <w:showingPlcHdr/>
          </w:sdtPr>
          <w:sdtEndPr/>
          <w:sdtContent>
            <w:tc>
              <w:tcPr>
                <w:tcW w:w="8525" w:type="dxa"/>
                <w:gridSpan w:val="4"/>
              </w:tcPr>
              <w:p w:rsidR="00B574C9" w:rsidRPr="00D7491B" w:rsidRDefault="00B574C9" w:rsidP="00922950">
                <w:pPr>
                  <w:rPr>
                    <w:sz w:val="24"/>
                    <w:szCs w:val="24"/>
                  </w:rPr>
                </w:pPr>
                <w:r w:rsidRPr="00D7491B">
                  <w:rPr>
                    <w:rStyle w:val="PlaceholderText"/>
                    <w:sz w:val="24"/>
                    <w:szCs w:val="24"/>
                  </w:rPr>
                  <w:t>[Enter your biography]</w:t>
                </w:r>
              </w:p>
            </w:tc>
          </w:sdtContent>
        </w:sdt>
      </w:tr>
      <w:tr w:rsidR="00B574C9" w:rsidRPr="00D7491B" w:rsidTr="001A6A06">
        <w:trPr>
          <w:trHeight w:val="986"/>
        </w:trPr>
        <w:tc>
          <w:tcPr>
            <w:tcW w:w="491" w:type="dxa"/>
            <w:vMerge/>
            <w:shd w:val="clear" w:color="auto" w:fill="A6A6A6" w:themeFill="background1" w:themeFillShade="A6"/>
          </w:tcPr>
          <w:p w:rsidR="00B574C9" w:rsidRPr="00D7491B"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3D1D4D753BC73C4EA636716E2A78D084"/>
            </w:placeholder>
            <w:text/>
          </w:sdtPr>
          <w:sdtContent>
            <w:tc>
              <w:tcPr>
                <w:tcW w:w="8525" w:type="dxa"/>
                <w:gridSpan w:val="4"/>
              </w:tcPr>
              <w:p w:rsidR="00B574C9" w:rsidRPr="00D7491B" w:rsidRDefault="00D7491B" w:rsidP="00B574C9">
                <w:pPr>
                  <w:rPr>
                    <w:rFonts w:ascii="Times New Roman" w:eastAsiaTheme="minorEastAsia" w:hAnsi="Times New Roman" w:cs="Times New Roman"/>
                    <w:sz w:val="24"/>
                    <w:szCs w:val="24"/>
                    <w:lang w:val="en-US"/>
                  </w:rPr>
                </w:pPr>
                <w:r w:rsidRPr="00D7491B">
                  <w:rPr>
                    <w:rFonts w:ascii="Times New Roman" w:eastAsiaTheme="minorEastAsia" w:hAnsi="Times New Roman" w:cs="Times New Roman"/>
                    <w:sz w:val="24"/>
                    <w:szCs w:val="24"/>
                    <w:lang w:val="en-US"/>
                  </w:rPr>
                  <w:t>The Pennsylvania State University</w:t>
                </w:r>
              </w:p>
            </w:tc>
          </w:sdtContent>
        </w:sdt>
      </w:tr>
    </w:tbl>
    <w:p w:rsidR="003D3579" w:rsidRPr="00D7491B"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7491B" w:rsidTr="00244BB0">
        <w:tc>
          <w:tcPr>
            <w:tcW w:w="9016" w:type="dxa"/>
            <w:shd w:val="clear" w:color="auto" w:fill="A6A6A6" w:themeFill="background1" w:themeFillShade="A6"/>
            <w:tcMar>
              <w:top w:w="113" w:type="dxa"/>
              <w:bottom w:w="113" w:type="dxa"/>
            </w:tcMar>
          </w:tcPr>
          <w:p w:rsidR="00244BB0" w:rsidRPr="00D7491B" w:rsidRDefault="00244BB0" w:rsidP="00244BB0">
            <w:pPr>
              <w:jc w:val="center"/>
              <w:rPr>
                <w:b/>
                <w:color w:val="FFFFFF" w:themeColor="background1"/>
                <w:sz w:val="24"/>
                <w:szCs w:val="24"/>
              </w:rPr>
            </w:pPr>
            <w:r w:rsidRPr="00D7491B">
              <w:rPr>
                <w:b/>
                <w:color w:val="FFFFFF" w:themeColor="background1"/>
                <w:sz w:val="24"/>
                <w:szCs w:val="24"/>
              </w:rPr>
              <w:t>Your article</w:t>
            </w:r>
          </w:p>
        </w:tc>
      </w:tr>
      <w:tr w:rsidR="003F0D73" w:rsidRPr="00D7491B" w:rsidTr="003F0D73">
        <w:bookmarkStart w:id="0" w:name="_GoBack" w:displacedByCustomXml="next"/>
        <w:sdt>
          <w:sdtPr>
            <w:rPr>
              <w:b/>
              <w:sz w:val="24"/>
              <w:szCs w:val="24"/>
            </w:rPr>
            <w:alias w:val="Article headword"/>
            <w:tag w:val="articleHeadword"/>
            <w:id w:val="-361440020"/>
            <w:placeholder>
              <w:docPart w:val="520C8A676256EA4386E5B68299A59E78"/>
            </w:placeholder>
            <w:text/>
          </w:sdtPr>
          <w:sdtContent>
            <w:tc>
              <w:tcPr>
                <w:tcW w:w="9016" w:type="dxa"/>
                <w:tcMar>
                  <w:top w:w="113" w:type="dxa"/>
                  <w:bottom w:w="113" w:type="dxa"/>
                </w:tcMar>
              </w:tcPr>
              <w:p w:rsidR="003F0D73" w:rsidRPr="00D7491B" w:rsidRDefault="00D7491B" w:rsidP="003F0D73">
                <w:pPr>
                  <w:rPr>
                    <w:b/>
                    <w:sz w:val="24"/>
                    <w:szCs w:val="24"/>
                  </w:rPr>
                </w:pPr>
                <w:r w:rsidRPr="00D7491B">
                  <w:rPr>
                    <w:rFonts w:ascii="Times New Roman" w:eastAsiaTheme="minorEastAsia" w:hAnsi="Times New Roman" w:cs="Times New Roman"/>
                    <w:sz w:val="24"/>
                    <w:szCs w:val="24"/>
                    <w:lang w:val="en-CA" w:eastAsia="ja-JP"/>
                  </w:rPr>
                  <w:t>LYNCHING DRAMA</w:t>
                </w:r>
              </w:p>
            </w:tc>
          </w:sdtContent>
        </w:sdt>
        <w:bookmarkEnd w:id="0" w:displacedByCustomXml="prev"/>
      </w:tr>
      <w:tr w:rsidR="00464699" w:rsidRPr="00D7491B" w:rsidTr="007821B0">
        <w:sdt>
          <w:sdtPr>
            <w:rPr>
              <w:sz w:val="24"/>
              <w:szCs w:val="24"/>
            </w:rPr>
            <w:alias w:val="Variant headwords"/>
            <w:tag w:val="variantHeadwords"/>
            <w:id w:val="173464402"/>
            <w:placeholder>
              <w:docPart w:val="05C338B40D181F418654EA7CACF10EBF"/>
            </w:placeholder>
            <w:showingPlcHdr/>
          </w:sdtPr>
          <w:sdtEndPr/>
          <w:sdtContent>
            <w:tc>
              <w:tcPr>
                <w:tcW w:w="9016" w:type="dxa"/>
                <w:tcMar>
                  <w:top w:w="113" w:type="dxa"/>
                  <w:bottom w:w="113" w:type="dxa"/>
                </w:tcMar>
              </w:tcPr>
              <w:p w:rsidR="00464699" w:rsidRPr="00D7491B" w:rsidRDefault="00464699" w:rsidP="00464699">
                <w:pPr>
                  <w:rPr>
                    <w:sz w:val="24"/>
                    <w:szCs w:val="24"/>
                  </w:rPr>
                </w:pPr>
                <w:r w:rsidRPr="00D7491B">
                  <w:rPr>
                    <w:rStyle w:val="PlaceholderText"/>
                    <w:b/>
                    <w:sz w:val="24"/>
                    <w:szCs w:val="24"/>
                  </w:rPr>
                  <w:t xml:space="preserve">[Enter any </w:t>
                </w:r>
                <w:r w:rsidRPr="00D7491B">
                  <w:rPr>
                    <w:rStyle w:val="PlaceholderText"/>
                    <w:b/>
                    <w:i/>
                    <w:sz w:val="24"/>
                    <w:szCs w:val="24"/>
                  </w:rPr>
                  <w:t>variant forms</w:t>
                </w:r>
                <w:r w:rsidRPr="00D7491B">
                  <w:rPr>
                    <w:rStyle w:val="PlaceholderText"/>
                    <w:b/>
                    <w:sz w:val="24"/>
                    <w:szCs w:val="24"/>
                  </w:rPr>
                  <w:t xml:space="preserve"> of your headword – OPTIONAL]</w:t>
                </w:r>
              </w:p>
            </w:tc>
          </w:sdtContent>
        </w:sdt>
      </w:tr>
      <w:tr w:rsidR="00E85A05" w:rsidRPr="00D7491B" w:rsidTr="003F0D73">
        <w:sdt>
          <w:sdtPr>
            <w:rPr>
              <w:sz w:val="24"/>
              <w:szCs w:val="24"/>
            </w:rPr>
            <w:alias w:val="Abstract"/>
            <w:tag w:val="abstract"/>
            <w:id w:val="-635871867"/>
            <w:placeholder>
              <w:docPart w:val="06E0DA357749734A9055F962B0CABDE1"/>
            </w:placeholder>
          </w:sdtPr>
          <w:sdtEndPr/>
          <w:sdtContent>
            <w:tc>
              <w:tcPr>
                <w:tcW w:w="9016" w:type="dxa"/>
                <w:tcMar>
                  <w:top w:w="113" w:type="dxa"/>
                  <w:bottom w:w="113" w:type="dxa"/>
                </w:tcMar>
              </w:tcPr>
              <w:p w:rsidR="00D7491B" w:rsidRPr="00D7491B" w:rsidRDefault="00D7491B" w:rsidP="00D7491B">
                <w:pPr>
                  <w:rPr>
                    <w:rFonts w:ascii="Times New Roman" w:hAnsi="Times New Roman" w:cs="Times New Roman"/>
                    <w:sz w:val="24"/>
                    <w:szCs w:val="24"/>
                  </w:rPr>
                </w:pPr>
                <w:r w:rsidRPr="00D7491B">
                  <w:rPr>
                    <w:rFonts w:ascii="Times New Roman" w:hAnsi="Times New Roman" w:cs="Times New Roman"/>
                    <w:sz w:val="24"/>
                    <w:szCs w:val="24"/>
                  </w:rPr>
                  <w:t>Lynching dramas reflect the brutal history of racial violence in which black individuals, primarily black men, were murdered by a white mob with no repercussions for the murderers. This is the particular form of lynching that became a systematic feature of black/white race relations in the United States after 1865 (when slavery was outlawed in the US Constitution) and that lynching dramas address. References to lynching appear in African American drama as early as 1858 (</w:t>
                </w:r>
                <w:r w:rsidRPr="00D7491B">
                  <w:rPr>
                    <w:rFonts w:ascii="Times New Roman" w:hAnsi="Times New Roman" w:cs="Times New Roman"/>
                    <w:i/>
                    <w:sz w:val="24"/>
                    <w:szCs w:val="24"/>
                  </w:rPr>
                  <w:t>The Escape; or a Leap for Freedom</w:t>
                </w:r>
                <w:r w:rsidRPr="00D7491B">
                  <w:rPr>
                    <w:rFonts w:ascii="Times New Roman" w:hAnsi="Times New Roman" w:cs="Times New Roman"/>
                    <w:sz w:val="24"/>
                    <w:szCs w:val="24"/>
                  </w:rPr>
                  <w:t xml:space="preserve"> by William Wells Brown), but lynching drama developed as a form when playwrights (both black and white) moved beyond brief references and focused on a specific lynching incident (</w:t>
                </w:r>
                <w:r w:rsidRPr="00D7491B">
                  <w:rPr>
                    <w:rFonts w:ascii="Times New Roman" w:hAnsi="Times New Roman" w:cs="Times New Roman"/>
                    <w:i/>
                    <w:sz w:val="24"/>
                    <w:szCs w:val="24"/>
                  </w:rPr>
                  <w:t>Granny Maumee</w:t>
                </w:r>
                <w:r w:rsidRPr="00D7491B">
                  <w:rPr>
                    <w:rFonts w:ascii="Times New Roman" w:hAnsi="Times New Roman" w:cs="Times New Roman"/>
                    <w:sz w:val="24"/>
                    <w:szCs w:val="24"/>
                  </w:rPr>
                  <w:t xml:space="preserve"> by </w:t>
                </w:r>
                <w:proofErr w:type="spellStart"/>
                <w:r w:rsidRPr="00D7491B">
                  <w:rPr>
                    <w:rFonts w:ascii="Times New Roman" w:hAnsi="Times New Roman" w:cs="Times New Roman"/>
                    <w:sz w:val="24"/>
                    <w:szCs w:val="24"/>
                  </w:rPr>
                  <w:t>Ridgely</w:t>
                </w:r>
                <w:proofErr w:type="spellEnd"/>
                <w:r w:rsidRPr="00D7491B">
                  <w:rPr>
                    <w:rFonts w:ascii="Times New Roman" w:hAnsi="Times New Roman" w:cs="Times New Roman"/>
                    <w:sz w:val="24"/>
                    <w:szCs w:val="24"/>
                  </w:rPr>
                  <w:t xml:space="preserve"> </w:t>
                </w:r>
                <w:proofErr w:type="spellStart"/>
                <w:r w:rsidRPr="00D7491B">
                  <w:rPr>
                    <w:rFonts w:ascii="Times New Roman" w:hAnsi="Times New Roman" w:cs="Times New Roman"/>
                    <w:sz w:val="24"/>
                    <w:szCs w:val="24"/>
                  </w:rPr>
                  <w:t>Torrence</w:t>
                </w:r>
                <w:proofErr w:type="spellEnd"/>
                <w:r w:rsidRPr="00D7491B">
                  <w:rPr>
                    <w:rFonts w:ascii="Times New Roman" w:hAnsi="Times New Roman" w:cs="Times New Roman"/>
                    <w:sz w:val="24"/>
                    <w:szCs w:val="24"/>
                  </w:rPr>
                  <w:t xml:space="preserve">, 1914).  </w:t>
                </w:r>
              </w:p>
              <w:p w:rsidR="00E85A05" w:rsidRPr="00D7491B" w:rsidRDefault="00E85A05" w:rsidP="00E85A05">
                <w:pPr>
                  <w:rPr>
                    <w:sz w:val="24"/>
                    <w:szCs w:val="24"/>
                  </w:rPr>
                </w:pPr>
              </w:p>
            </w:tc>
          </w:sdtContent>
        </w:sdt>
      </w:tr>
      <w:tr w:rsidR="003F0D73" w:rsidRPr="00D7491B" w:rsidTr="003F0D73">
        <w:sdt>
          <w:sdtPr>
            <w:rPr>
              <w:sz w:val="24"/>
              <w:szCs w:val="24"/>
            </w:rPr>
            <w:alias w:val="Article text"/>
            <w:tag w:val="articleText"/>
            <w:id w:val="634067588"/>
            <w:placeholder>
              <w:docPart w:val="2E77432AAD477A4E9203282D4BE47859"/>
            </w:placeholder>
          </w:sdtPr>
          <w:sdtEndPr/>
          <w:sdtContent>
            <w:tc>
              <w:tcPr>
                <w:tcW w:w="9016" w:type="dxa"/>
                <w:tcMar>
                  <w:top w:w="113" w:type="dxa"/>
                  <w:bottom w:w="113" w:type="dxa"/>
                </w:tcMar>
              </w:tcPr>
              <w:p w:rsidR="00D7491B" w:rsidRPr="00D7491B" w:rsidRDefault="00D7491B" w:rsidP="00D7491B">
                <w:pPr>
                  <w:rPr>
                    <w:rFonts w:ascii="Times New Roman" w:hAnsi="Times New Roman" w:cs="Times New Roman"/>
                    <w:sz w:val="24"/>
                    <w:szCs w:val="24"/>
                  </w:rPr>
                </w:pPr>
                <w:r w:rsidRPr="00D7491B">
                  <w:rPr>
                    <w:rFonts w:ascii="Times New Roman" w:hAnsi="Times New Roman" w:cs="Times New Roman"/>
                    <w:sz w:val="24"/>
                    <w:szCs w:val="24"/>
                  </w:rPr>
                  <w:t>Lynching dramas reflect the brutal history of racial violence in which black individuals, primarily black men, were murdered by a white mob with no repercussions for the murderers. This is the particular form of lynching that became a systematic feature of black/white race relations in the United States after 1865 (when slavery was outlawed in the US Constitution) and that lynching dramas address. References to lynching appear in African American drama as early as 1858 (</w:t>
                </w:r>
                <w:r w:rsidRPr="00D7491B">
                  <w:rPr>
                    <w:rFonts w:ascii="Times New Roman" w:hAnsi="Times New Roman" w:cs="Times New Roman"/>
                    <w:i/>
                    <w:sz w:val="24"/>
                    <w:szCs w:val="24"/>
                  </w:rPr>
                  <w:t>The Escape; or a Leap for Freedom</w:t>
                </w:r>
                <w:r w:rsidRPr="00D7491B">
                  <w:rPr>
                    <w:rFonts w:ascii="Times New Roman" w:hAnsi="Times New Roman" w:cs="Times New Roman"/>
                    <w:sz w:val="24"/>
                    <w:szCs w:val="24"/>
                  </w:rPr>
                  <w:t xml:space="preserve"> by William Wells Brown), but lynching drama developed as a form when playwrights (both black and white) moved beyond brief references and focused on a specific lynching incident (</w:t>
                </w:r>
                <w:r w:rsidRPr="00D7491B">
                  <w:rPr>
                    <w:rFonts w:ascii="Times New Roman" w:hAnsi="Times New Roman" w:cs="Times New Roman"/>
                    <w:i/>
                    <w:sz w:val="24"/>
                    <w:szCs w:val="24"/>
                  </w:rPr>
                  <w:t>Granny Maumee</w:t>
                </w:r>
                <w:r w:rsidRPr="00D7491B">
                  <w:rPr>
                    <w:rFonts w:ascii="Times New Roman" w:hAnsi="Times New Roman" w:cs="Times New Roman"/>
                    <w:sz w:val="24"/>
                    <w:szCs w:val="24"/>
                  </w:rPr>
                  <w:t xml:space="preserve"> by </w:t>
                </w:r>
                <w:proofErr w:type="spellStart"/>
                <w:r w:rsidRPr="00D7491B">
                  <w:rPr>
                    <w:rFonts w:ascii="Times New Roman" w:hAnsi="Times New Roman" w:cs="Times New Roman"/>
                    <w:sz w:val="24"/>
                    <w:szCs w:val="24"/>
                  </w:rPr>
                  <w:t>Ridgely</w:t>
                </w:r>
                <w:proofErr w:type="spellEnd"/>
                <w:r w:rsidRPr="00D7491B">
                  <w:rPr>
                    <w:rFonts w:ascii="Times New Roman" w:hAnsi="Times New Roman" w:cs="Times New Roman"/>
                    <w:sz w:val="24"/>
                    <w:szCs w:val="24"/>
                  </w:rPr>
                  <w:t xml:space="preserve"> </w:t>
                </w:r>
                <w:proofErr w:type="spellStart"/>
                <w:r w:rsidRPr="00D7491B">
                  <w:rPr>
                    <w:rFonts w:ascii="Times New Roman" w:hAnsi="Times New Roman" w:cs="Times New Roman"/>
                    <w:sz w:val="24"/>
                    <w:szCs w:val="24"/>
                  </w:rPr>
                  <w:t>Torrence</w:t>
                </w:r>
                <w:proofErr w:type="spellEnd"/>
                <w:r w:rsidRPr="00D7491B">
                  <w:rPr>
                    <w:rFonts w:ascii="Times New Roman" w:hAnsi="Times New Roman" w:cs="Times New Roman"/>
                    <w:sz w:val="24"/>
                    <w:szCs w:val="24"/>
                  </w:rPr>
                  <w:t xml:space="preserve">, 1914).  </w:t>
                </w:r>
              </w:p>
              <w:p w:rsidR="00D7491B" w:rsidRPr="00D7491B" w:rsidRDefault="00D7491B" w:rsidP="00D7491B">
                <w:pPr>
                  <w:rPr>
                    <w:rFonts w:ascii="Times New Roman" w:hAnsi="Times New Roman" w:cs="Times New Roman"/>
                    <w:sz w:val="24"/>
                    <w:szCs w:val="24"/>
                  </w:rPr>
                </w:pPr>
              </w:p>
              <w:p w:rsidR="00D7491B" w:rsidRPr="00D7491B" w:rsidRDefault="00D7491B" w:rsidP="00D7491B">
                <w:pPr>
                  <w:keepNext/>
                  <w:rPr>
                    <w:rFonts w:ascii="Times New Roman" w:hAnsi="Times New Roman" w:cs="Times New Roman"/>
                    <w:sz w:val="24"/>
                    <w:szCs w:val="24"/>
                  </w:rPr>
                </w:pPr>
                <w:r w:rsidRPr="00D7491B">
                  <w:rPr>
                    <w:rFonts w:ascii="Times New Roman" w:hAnsi="Times New Roman" w:cs="Times New Roman"/>
                    <w:sz w:val="24"/>
                    <w:szCs w:val="24"/>
                  </w:rPr>
                  <w:t>File: Climbing Jacob’s Ladder.png</w:t>
                </w:r>
              </w:p>
              <w:p w:rsidR="00D7491B" w:rsidRPr="00D7491B" w:rsidRDefault="00D7491B" w:rsidP="00D7491B">
                <w:pPr>
                  <w:pStyle w:val="Caption"/>
                  <w:rPr>
                    <w:sz w:val="24"/>
                    <w:szCs w:val="24"/>
                  </w:rPr>
                </w:pPr>
                <w:r w:rsidRPr="00D7491B">
                  <w:rPr>
                    <w:sz w:val="24"/>
                    <w:szCs w:val="24"/>
                  </w:rPr>
                  <w:t xml:space="preserve">Figure </w:t>
                </w:r>
                <w:r w:rsidRPr="00D7491B">
                  <w:rPr>
                    <w:sz w:val="24"/>
                    <w:szCs w:val="24"/>
                  </w:rPr>
                  <w:fldChar w:fldCharType="begin"/>
                </w:r>
                <w:r w:rsidRPr="00D7491B">
                  <w:rPr>
                    <w:sz w:val="24"/>
                    <w:szCs w:val="24"/>
                  </w:rPr>
                  <w:instrText xml:space="preserve"> SEQ Figure \* ARABIC </w:instrText>
                </w:r>
                <w:r w:rsidRPr="00D7491B">
                  <w:rPr>
                    <w:sz w:val="24"/>
                    <w:szCs w:val="24"/>
                  </w:rPr>
                  <w:fldChar w:fldCharType="separate"/>
                </w:r>
                <w:r w:rsidRPr="00D7491B">
                  <w:rPr>
                    <w:noProof/>
                    <w:sz w:val="24"/>
                    <w:szCs w:val="24"/>
                  </w:rPr>
                  <w:t>1</w:t>
                </w:r>
                <w:r w:rsidRPr="00D7491B">
                  <w:rPr>
                    <w:sz w:val="24"/>
                    <w:szCs w:val="24"/>
                  </w:rPr>
                  <w:fldChar w:fldCharType="end"/>
                </w:r>
                <w:r w:rsidRPr="00D7491B">
                  <w:rPr>
                    <w:rFonts w:ascii="Times New Roman" w:hAnsi="Times New Roman" w:cs="Times New Roman"/>
                    <w:sz w:val="24"/>
                    <w:szCs w:val="24"/>
                  </w:rPr>
                  <w:t xml:space="preserve"> </w:t>
                </w:r>
                <w:r w:rsidRPr="00D7491B">
                  <w:rPr>
                    <w:rFonts w:ascii="Times New Roman" w:hAnsi="Times New Roman" w:cs="Times New Roman"/>
                    <w:b w:val="0"/>
                    <w:sz w:val="24"/>
                    <w:szCs w:val="24"/>
                  </w:rPr>
                  <w:t xml:space="preserve">A scene from the Harlem Experimental Theatre’s 1931 production of </w:t>
                </w:r>
                <w:r w:rsidRPr="00D7491B">
                  <w:rPr>
                    <w:rFonts w:ascii="Times New Roman" w:hAnsi="Times New Roman" w:cs="Times New Roman"/>
                    <w:b w:val="0"/>
                    <w:i/>
                    <w:sz w:val="24"/>
                    <w:szCs w:val="24"/>
                  </w:rPr>
                  <w:t>Climbing Jacob’s Ladder</w:t>
                </w:r>
                <w:r w:rsidRPr="00D7491B">
                  <w:rPr>
                    <w:rFonts w:ascii="Times New Roman" w:hAnsi="Times New Roman" w:cs="Times New Roman"/>
                    <w:b w:val="0"/>
                    <w:sz w:val="24"/>
                    <w:szCs w:val="24"/>
                  </w:rPr>
                  <w:t xml:space="preserve"> by Regina M. Anderson Andrews</w:t>
                </w:r>
                <w:r w:rsidRPr="00D7491B">
                  <w:rPr>
                    <w:rFonts w:ascii="Times New Roman" w:hAnsi="Times New Roman" w:cs="Times New Roman"/>
                    <w:b w:val="0"/>
                    <w:sz w:val="24"/>
                    <w:szCs w:val="24"/>
                  </w:rPr>
                  <w:t xml:space="preserve"> (1901-1993)</w:t>
                </w:r>
              </w:p>
              <w:p w:rsidR="00D7491B" w:rsidRPr="00D7491B" w:rsidRDefault="00D7491B" w:rsidP="00D7491B">
                <w:pPr>
                  <w:rPr>
                    <w:rFonts w:ascii="Times New Roman" w:hAnsi="Times New Roman" w:cs="Times New Roman"/>
                    <w:sz w:val="24"/>
                    <w:szCs w:val="24"/>
                  </w:rPr>
                </w:pPr>
                <w:r w:rsidRPr="00D7491B">
                  <w:rPr>
                    <w:rFonts w:ascii="Times New Roman" w:hAnsi="Times New Roman" w:cs="Times New Roman"/>
                    <w:sz w:val="24"/>
                    <w:szCs w:val="24"/>
                  </w:rPr>
                  <w:t xml:space="preserve">Source: </w:t>
                </w:r>
                <w:r w:rsidRPr="00D7491B">
                  <w:rPr>
                    <w:rFonts w:ascii="Times New Roman" w:hAnsi="Times New Roman" w:cs="Times New Roman"/>
                    <w:i/>
                    <w:sz w:val="24"/>
                    <w:szCs w:val="24"/>
                  </w:rPr>
                  <w:t>The Crisis Magazine</w:t>
                </w:r>
                <w:r w:rsidRPr="00D7491B">
                  <w:rPr>
                    <w:rFonts w:ascii="Times New Roman" w:hAnsi="Times New Roman" w:cs="Times New Roman"/>
                    <w:sz w:val="24"/>
                    <w:szCs w:val="24"/>
                  </w:rPr>
                  <w:t>, July 1931</w:t>
                </w:r>
              </w:p>
              <w:p w:rsidR="00D7491B" w:rsidRPr="00D7491B" w:rsidRDefault="00D7491B" w:rsidP="00D7491B">
                <w:pPr>
                  <w:rPr>
                    <w:rFonts w:ascii="Times New Roman" w:hAnsi="Times New Roman" w:cs="Times New Roman"/>
                    <w:sz w:val="24"/>
                    <w:szCs w:val="24"/>
                  </w:rPr>
                </w:pPr>
              </w:p>
              <w:p w:rsidR="00D7491B" w:rsidRPr="00D7491B" w:rsidRDefault="00D7491B" w:rsidP="00D7491B">
                <w:pPr>
                  <w:rPr>
                    <w:rFonts w:ascii="Times New Roman" w:hAnsi="Times New Roman" w:cs="Times New Roman"/>
                    <w:sz w:val="24"/>
                    <w:szCs w:val="24"/>
                  </w:rPr>
                </w:pPr>
                <w:r w:rsidRPr="00D7491B">
                  <w:rPr>
                    <w:rFonts w:ascii="Times New Roman" w:hAnsi="Times New Roman" w:cs="Times New Roman"/>
                    <w:sz w:val="24"/>
                    <w:szCs w:val="24"/>
                  </w:rPr>
                  <w:t xml:space="preserve">Lynching drama was first recognized as a genre of American theatre in the 1998 anthology </w:t>
                </w:r>
                <w:r w:rsidRPr="00D7491B">
                  <w:rPr>
                    <w:rFonts w:ascii="Times New Roman" w:hAnsi="Times New Roman" w:cs="Times New Roman"/>
                    <w:i/>
                    <w:sz w:val="24"/>
                    <w:szCs w:val="24"/>
                  </w:rPr>
                  <w:t>Strange Fruit: Plays on Lynching by American Women</w:t>
                </w:r>
                <w:r w:rsidRPr="00D7491B">
                  <w:rPr>
                    <w:rFonts w:ascii="Times New Roman" w:hAnsi="Times New Roman" w:cs="Times New Roman"/>
                    <w:sz w:val="24"/>
                    <w:szCs w:val="24"/>
                  </w:rPr>
                  <w:t>, in which</w:t>
                </w:r>
                <w:r w:rsidRPr="00D7491B">
                  <w:rPr>
                    <w:rFonts w:ascii="Times New Roman" w:hAnsi="Times New Roman" w:cs="Times New Roman"/>
                    <w:i/>
                    <w:sz w:val="24"/>
                    <w:szCs w:val="24"/>
                  </w:rPr>
                  <w:t xml:space="preserve"> </w:t>
                </w:r>
                <w:r w:rsidRPr="00D7491B">
                  <w:rPr>
                    <w:rFonts w:ascii="Times New Roman" w:hAnsi="Times New Roman" w:cs="Times New Roman"/>
                    <w:sz w:val="24"/>
                    <w:szCs w:val="24"/>
                  </w:rPr>
                  <w:t xml:space="preserve">editors Kathy Perkins and Judith Stephens defined a lynching drama as ‘a play in which the threat or occurrence of a lynching, past or present, has major impact on the dramatic action’ (3). Focusing on the contributions of women playwrights, Perkins and Stephens’s anthology traces the early development of the genre in works like Angelina Weld </w:t>
                </w:r>
                <w:proofErr w:type="spellStart"/>
                <w:r w:rsidRPr="00D7491B">
                  <w:rPr>
                    <w:rFonts w:ascii="Times New Roman" w:hAnsi="Times New Roman" w:cs="Times New Roman"/>
                    <w:sz w:val="24"/>
                    <w:szCs w:val="24"/>
                  </w:rPr>
                  <w:t>Grimké’s</w:t>
                </w:r>
                <w:proofErr w:type="spellEnd"/>
                <w:r w:rsidRPr="00D7491B">
                  <w:rPr>
                    <w:rFonts w:ascii="Times New Roman" w:hAnsi="Times New Roman" w:cs="Times New Roman"/>
                    <w:sz w:val="24"/>
                    <w:szCs w:val="24"/>
                  </w:rPr>
                  <w:t xml:space="preserve"> </w:t>
                </w:r>
                <w:r w:rsidRPr="00D7491B">
                  <w:rPr>
                    <w:rFonts w:ascii="Times New Roman" w:hAnsi="Times New Roman" w:cs="Times New Roman"/>
                    <w:i/>
                    <w:sz w:val="24"/>
                    <w:szCs w:val="24"/>
                  </w:rPr>
                  <w:t>Rachel</w:t>
                </w:r>
                <w:r w:rsidRPr="00D7491B">
                  <w:rPr>
                    <w:rFonts w:ascii="Times New Roman" w:hAnsi="Times New Roman" w:cs="Times New Roman"/>
                    <w:sz w:val="24"/>
                    <w:szCs w:val="24"/>
                  </w:rPr>
                  <w:t xml:space="preserve"> (1916), Georgia Douglas Johnson’s </w:t>
                </w:r>
                <w:r w:rsidRPr="00D7491B">
                  <w:rPr>
                    <w:rFonts w:ascii="Times New Roman" w:hAnsi="Times New Roman" w:cs="Times New Roman"/>
                    <w:i/>
                    <w:sz w:val="24"/>
                    <w:szCs w:val="24"/>
                  </w:rPr>
                  <w:t>A Sunday Morning in the South</w:t>
                </w:r>
                <w:r w:rsidRPr="00D7491B">
                  <w:rPr>
                    <w:rFonts w:ascii="Times New Roman" w:hAnsi="Times New Roman" w:cs="Times New Roman"/>
                    <w:sz w:val="24"/>
                    <w:szCs w:val="24"/>
                  </w:rPr>
                  <w:t xml:space="preserve"> (1925) and </w:t>
                </w:r>
                <w:r w:rsidRPr="00D7491B">
                  <w:rPr>
                    <w:rFonts w:ascii="Times New Roman" w:hAnsi="Times New Roman" w:cs="Times New Roman"/>
                    <w:i/>
                    <w:sz w:val="24"/>
                    <w:szCs w:val="24"/>
                  </w:rPr>
                  <w:t>Safe</w:t>
                </w:r>
                <w:r w:rsidRPr="00D7491B">
                  <w:rPr>
                    <w:rFonts w:ascii="Times New Roman" w:hAnsi="Times New Roman" w:cs="Times New Roman"/>
                    <w:sz w:val="24"/>
                    <w:szCs w:val="24"/>
                  </w:rPr>
                  <w:t xml:space="preserve"> (c. 1929), and Regina </w:t>
                </w:r>
                <w:r w:rsidRPr="00D7491B">
                  <w:rPr>
                    <w:rFonts w:ascii="Times New Roman" w:hAnsi="Times New Roman" w:cs="Times New Roman"/>
                    <w:sz w:val="24"/>
                    <w:szCs w:val="24"/>
                  </w:rPr>
                  <w:lastRenderedPageBreak/>
                  <w:t xml:space="preserve">M. Anderson Andrews’s </w:t>
                </w:r>
                <w:r w:rsidRPr="00D7491B">
                  <w:rPr>
                    <w:rFonts w:ascii="Times New Roman" w:hAnsi="Times New Roman" w:cs="Times New Roman"/>
                    <w:i/>
                    <w:sz w:val="24"/>
                    <w:szCs w:val="24"/>
                  </w:rPr>
                  <w:t xml:space="preserve">Climbing Jacob’s </w:t>
                </w:r>
                <w:r w:rsidRPr="00D7491B">
                  <w:rPr>
                    <w:rFonts w:ascii="Times New Roman" w:hAnsi="Times New Roman" w:cs="Times New Roman"/>
                    <w:sz w:val="24"/>
                    <w:szCs w:val="24"/>
                  </w:rPr>
                  <w:t xml:space="preserve">Ladder (1931), and documents its continuation in more recent plays like Sandra Seton’s </w:t>
                </w:r>
                <w:r w:rsidRPr="00D7491B">
                  <w:rPr>
                    <w:rFonts w:ascii="Times New Roman" w:hAnsi="Times New Roman" w:cs="Times New Roman"/>
                    <w:i/>
                    <w:sz w:val="24"/>
                    <w:szCs w:val="24"/>
                  </w:rPr>
                  <w:t>The Bridge Party</w:t>
                </w:r>
                <w:r w:rsidRPr="00D7491B">
                  <w:rPr>
                    <w:rFonts w:ascii="Times New Roman" w:hAnsi="Times New Roman" w:cs="Times New Roman"/>
                    <w:sz w:val="24"/>
                    <w:szCs w:val="24"/>
                  </w:rPr>
                  <w:t xml:space="preserve"> (1989) and </w:t>
                </w:r>
                <w:proofErr w:type="spellStart"/>
                <w:r w:rsidRPr="00D7491B">
                  <w:rPr>
                    <w:rFonts w:ascii="Times New Roman" w:hAnsi="Times New Roman" w:cs="Times New Roman"/>
                    <w:sz w:val="24"/>
                    <w:szCs w:val="24"/>
                  </w:rPr>
                  <w:t>Michon</w:t>
                </w:r>
                <w:proofErr w:type="spellEnd"/>
                <w:r w:rsidRPr="00D7491B">
                  <w:rPr>
                    <w:rFonts w:ascii="Times New Roman" w:hAnsi="Times New Roman" w:cs="Times New Roman"/>
                    <w:sz w:val="24"/>
                    <w:szCs w:val="24"/>
                  </w:rPr>
                  <w:t xml:space="preserve"> Boston’s </w:t>
                </w:r>
                <w:r w:rsidRPr="00D7491B">
                  <w:rPr>
                    <w:rFonts w:ascii="Times New Roman" w:hAnsi="Times New Roman" w:cs="Times New Roman"/>
                    <w:i/>
                    <w:sz w:val="24"/>
                    <w:szCs w:val="24"/>
                  </w:rPr>
                  <w:t>Iola’s Letter</w:t>
                </w:r>
                <w:r w:rsidRPr="00D7491B">
                  <w:rPr>
                    <w:rFonts w:ascii="Times New Roman" w:hAnsi="Times New Roman" w:cs="Times New Roman"/>
                    <w:sz w:val="24"/>
                    <w:szCs w:val="24"/>
                  </w:rPr>
                  <w:t xml:space="preserve"> (1994). Lynching dramas are a distinct genre of American drama because they are based on lynching as a manifestation of black/white race relations </w:t>
                </w:r>
                <w:r w:rsidRPr="00D7491B">
                  <w:rPr>
                    <w:rFonts w:ascii="Times New Roman" w:hAnsi="Times New Roman" w:cs="Times New Roman"/>
                    <w:i/>
                    <w:sz w:val="24"/>
                    <w:szCs w:val="24"/>
                  </w:rPr>
                  <w:t>specifically</w:t>
                </w:r>
                <w:r w:rsidRPr="00D7491B">
                  <w:rPr>
                    <w:rFonts w:ascii="Times New Roman" w:hAnsi="Times New Roman" w:cs="Times New Roman"/>
                    <w:sz w:val="24"/>
                    <w:szCs w:val="24"/>
                  </w:rPr>
                  <w:t xml:space="preserve"> in the United States; they reflect the philosophy of both white supremacists who supported lynching (</w:t>
                </w:r>
                <w:r w:rsidRPr="00D7491B">
                  <w:rPr>
                    <w:rFonts w:ascii="Times New Roman" w:hAnsi="Times New Roman" w:cs="Times New Roman"/>
                    <w:i/>
                    <w:sz w:val="24"/>
                    <w:szCs w:val="24"/>
                  </w:rPr>
                  <w:t>The Clansman</w:t>
                </w:r>
                <w:r w:rsidRPr="00D7491B">
                  <w:rPr>
                    <w:rFonts w:ascii="Times New Roman" w:hAnsi="Times New Roman" w:cs="Times New Roman"/>
                    <w:sz w:val="24"/>
                    <w:szCs w:val="24"/>
                  </w:rPr>
                  <w:t xml:space="preserve"> by Thomas Dixon, 1906) and the historical anti-lynching movement, which originated in the African American community (</w:t>
                </w:r>
                <w:r w:rsidRPr="00D7491B">
                  <w:rPr>
                    <w:rFonts w:ascii="Times New Roman" w:hAnsi="Times New Roman" w:cs="Times New Roman"/>
                    <w:i/>
                    <w:sz w:val="24"/>
                    <w:szCs w:val="24"/>
                  </w:rPr>
                  <w:t>Aftermath</w:t>
                </w:r>
                <w:r w:rsidRPr="00D7491B">
                  <w:rPr>
                    <w:rFonts w:ascii="Times New Roman" w:hAnsi="Times New Roman" w:cs="Times New Roman"/>
                    <w:sz w:val="24"/>
                    <w:szCs w:val="24"/>
                  </w:rPr>
                  <w:t xml:space="preserve"> by Mary Powell </w:t>
                </w:r>
                <w:proofErr w:type="spellStart"/>
                <w:r w:rsidRPr="00D7491B">
                  <w:rPr>
                    <w:rFonts w:ascii="Times New Roman" w:hAnsi="Times New Roman" w:cs="Times New Roman"/>
                    <w:sz w:val="24"/>
                    <w:szCs w:val="24"/>
                  </w:rPr>
                  <w:t>Burrill</w:t>
                </w:r>
                <w:proofErr w:type="spellEnd"/>
                <w:r w:rsidRPr="00D7491B">
                  <w:rPr>
                    <w:rFonts w:ascii="Times New Roman" w:hAnsi="Times New Roman" w:cs="Times New Roman"/>
                    <w:sz w:val="24"/>
                    <w:szCs w:val="24"/>
                  </w:rPr>
                  <w:t xml:space="preserve">, 1919). Lynching dramas are written almost exclusively by American playwrights (one known exception is Jean-Paul Sartre’s </w:t>
                </w:r>
                <w:r w:rsidRPr="00D7491B">
                  <w:rPr>
                    <w:rFonts w:ascii="Times New Roman" w:hAnsi="Times New Roman" w:cs="Times New Roman"/>
                    <w:i/>
                    <w:sz w:val="24"/>
                    <w:szCs w:val="24"/>
                  </w:rPr>
                  <w:t>The Respectful Prostitute</w:t>
                </w:r>
                <w:r w:rsidRPr="00D7491B">
                  <w:rPr>
                    <w:rFonts w:ascii="Times New Roman" w:hAnsi="Times New Roman" w:cs="Times New Roman"/>
                    <w:sz w:val="24"/>
                    <w:szCs w:val="24"/>
                  </w:rPr>
                  <w:t>, 1946) and portray American settings and characters. They have been produced in all regions of the United States and encompass both one-act and full-length plays, as well as a variety of production styles. Because lynching drama developed simultaneously with modern drama, including social realism and folk drama, these plays involve particularized characters speaking and acting in localized settings of daily routine, reflecting the playwrights’ efforts to represent true-to-life individuals instead of type characters</w:t>
                </w:r>
                <w:proofErr w:type="gramStart"/>
                <w:r w:rsidRPr="00D7491B">
                  <w:rPr>
                    <w:rFonts w:ascii="Times New Roman" w:hAnsi="Times New Roman" w:cs="Times New Roman"/>
                    <w:sz w:val="24"/>
                    <w:szCs w:val="24"/>
                  </w:rPr>
                  <w:t>..</w:t>
                </w:r>
                <w:proofErr w:type="gramEnd"/>
              </w:p>
              <w:p w:rsidR="00D7491B" w:rsidRPr="00D7491B" w:rsidRDefault="00D7491B" w:rsidP="00D7491B">
                <w:pPr>
                  <w:rPr>
                    <w:rFonts w:ascii="Times New Roman" w:hAnsi="Times New Roman" w:cs="Times New Roman"/>
                    <w:sz w:val="24"/>
                    <w:szCs w:val="24"/>
                  </w:rPr>
                </w:pPr>
              </w:p>
              <w:p w:rsidR="00D7491B" w:rsidRPr="00D7491B" w:rsidRDefault="00D7491B" w:rsidP="00D7491B">
                <w:pPr>
                  <w:keepNext/>
                  <w:rPr>
                    <w:rFonts w:ascii="Times New Roman" w:hAnsi="Times New Roman" w:cs="Times New Roman"/>
                    <w:sz w:val="24"/>
                    <w:szCs w:val="24"/>
                  </w:rPr>
                </w:pPr>
                <w:r w:rsidRPr="00D7491B">
                  <w:rPr>
                    <w:rFonts w:ascii="Times New Roman" w:hAnsi="Times New Roman" w:cs="Times New Roman"/>
                    <w:sz w:val="24"/>
                    <w:szCs w:val="24"/>
                  </w:rPr>
                  <w:t>File: The Bridge Party.png</w:t>
                </w:r>
              </w:p>
              <w:p w:rsidR="00D7491B" w:rsidRPr="00D7491B" w:rsidRDefault="00D7491B" w:rsidP="00D7491B">
                <w:pPr>
                  <w:pStyle w:val="Caption"/>
                  <w:rPr>
                    <w:b w:val="0"/>
                    <w:sz w:val="24"/>
                    <w:szCs w:val="24"/>
                  </w:rPr>
                </w:pPr>
                <w:r w:rsidRPr="00D7491B">
                  <w:rPr>
                    <w:sz w:val="24"/>
                    <w:szCs w:val="24"/>
                  </w:rPr>
                  <w:t xml:space="preserve">Figure </w:t>
                </w:r>
                <w:r w:rsidRPr="00D7491B">
                  <w:rPr>
                    <w:sz w:val="24"/>
                    <w:szCs w:val="24"/>
                  </w:rPr>
                  <w:fldChar w:fldCharType="begin"/>
                </w:r>
                <w:r w:rsidRPr="00D7491B">
                  <w:rPr>
                    <w:sz w:val="24"/>
                    <w:szCs w:val="24"/>
                  </w:rPr>
                  <w:instrText xml:space="preserve"> SEQ Figure \* ARABIC </w:instrText>
                </w:r>
                <w:r w:rsidRPr="00D7491B">
                  <w:rPr>
                    <w:sz w:val="24"/>
                    <w:szCs w:val="24"/>
                  </w:rPr>
                  <w:fldChar w:fldCharType="separate"/>
                </w:r>
                <w:r w:rsidRPr="00D7491B">
                  <w:rPr>
                    <w:noProof/>
                    <w:sz w:val="24"/>
                    <w:szCs w:val="24"/>
                  </w:rPr>
                  <w:t>2</w:t>
                </w:r>
                <w:r w:rsidRPr="00D7491B">
                  <w:rPr>
                    <w:sz w:val="24"/>
                    <w:szCs w:val="24"/>
                  </w:rPr>
                  <w:fldChar w:fldCharType="end"/>
                </w:r>
                <w:r w:rsidRPr="00D7491B">
                  <w:rPr>
                    <w:sz w:val="24"/>
                    <w:szCs w:val="24"/>
                  </w:rPr>
                  <w:t xml:space="preserve"> </w:t>
                </w:r>
                <w:r w:rsidRPr="00D7491B">
                  <w:rPr>
                    <w:rFonts w:ascii="Times New Roman" w:hAnsi="Times New Roman" w:cs="Times New Roman"/>
                    <w:b w:val="0"/>
                    <w:sz w:val="24"/>
                    <w:szCs w:val="24"/>
                  </w:rPr>
                  <w:t xml:space="preserve">A flyer from a </w:t>
                </w:r>
                <w:proofErr w:type="gramStart"/>
                <w:r w:rsidRPr="00D7491B">
                  <w:rPr>
                    <w:rFonts w:ascii="Times New Roman" w:hAnsi="Times New Roman" w:cs="Times New Roman"/>
                    <w:b w:val="0"/>
                    <w:sz w:val="24"/>
                    <w:szCs w:val="24"/>
                  </w:rPr>
                  <w:t>1998 staged</w:t>
                </w:r>
                <w:proofErr w:type="gramEnd"/>
                <w:r w:rsidRPr="00D7491B">
                  <w:rPr>
                    <w:rFonts w:ascii="Times New Roman" w:hAnsi="Times New Roman" w:cs="Times New Roman"/>
                    <w:b w:val="0"/>
                    <w:sz w:val="24"/>
                    <w:szCs w:val="24"/>
                  </w:rPr>
                  <w:t xml:space="preserve"> reading of </w:t>
                </w:r>
                <w:r w:rsidRPr="00D7491B">
                  <w:rPr>
                    <w:rFonts w:ascii="Times New Roman" w:hAnsi="Times New Roman" w:cs="Times New Roman"/>
                    <w:b w:val="0"/>
                    <w:i/>
                    <w:sz w:val="24"/>
                    <w:szCs w:val="24"/>
                  </w:rPr>
                  <w:t>The Bridge Party</w:t>
                </w:r>
                <w:r w:rsidRPr="00D7491B">
                  <w:rPr>
                    <w:rFonts w:ascii="Times New Roman" w:hAnsi="Times New Roman" w:cs="Times New Roman"/>
                    <w:b w:val="0"/>
                    <w:sz w:val="24"/>
                    <w:szCs w:val="24"/>
                  </w:rPr>
                  <w:t xml:space="preserve"> by Sandra Seaton. The rehearsed reading, presented at the University of Michigan, Ann </w:t>
                </w:r>
                <w:proofErr w:type="spellStart"/>
                <w:r w:rsidRPr="00D7491B">
                  <w:rPr>
                    <w:rFonts w:ascii="Times New Roman" w:hAnsi="Times New Roman" w:cs="Times New Roman"/>
                    <w:b w:val="0"/>
                    <w:sz w:val="24"/>
                    <w:szCs w:val="24"/>
                  </w:rPr>
                  <w:t>Arbor</w:t>
                </w:r>
                <w:proofErr w:type="spellEnd"/>
                <w:r w:rsidRPr="00D7491B">
                  <w:rPr>
                    <w:rFonts w:ascii="Times New Roman" w:hAnsi="Times New Roman" w:cs="Times New Roman"/>
                    <w:b w:val="0"/>
                    <w:sz w:val="24"/>
                    <w:szCs w:val="24"/>
                  </w:rPr>
                  <w:t>, was directed by Professor Glenda Dickerson and featured the actress Ruby Dee</w:t>
                </w:r>
              </w:p>
              <w:p w:rsidR="00D7491B" w:rsidRPr="00D7491B" w:rsidRDefault="00D7491B" w:rsidP="00D7491B">
                <w:pPr>
                  <w:rPr>
                    <w:rFonts w:ascii="Times New Roman" w:hAnsi="Times New Roman" w:cs="Times New Roman"/>
                    <w:sz w:val="24"/>
                    <w:szCs w:val="24"/>
                  </w:rPr>
                </w:pPr>
                <w:r w:rsidRPr="00D7491B">
                  <w:rPr>
                    <w:rFonts w:ascii="Times New Roman" w:hAnsi="Times New Roman" w:cs="Times New Roman"/>
                    <w:sz w:val="24"/>
                    <w:szCs w:val="24"/>
                  </w:rPr>
                  <w:t>Source:</w:t>
                </w:r>
                <w:r w:rsidRPr="00D7491B">
                  <w:rPr>
                    <w:rFonts w:ascii="Times New Roman" w:hAnsi="Times New Roman" w:cs="Times New Roman"/>
                    <w:b/>
                    <w:sz w:val="24"/>
                    <w:szCs w:val="24"/>
                  </w:rPr>
                  <w:t xml:space="preserve"> </w:t>
                </w:r>
                <w:r w:rsidRPr="00D7491B">
                  <w:rPr>
                    <w:rFonts w:ascii="Times New Roman" w:hAnsi="Times New Roman" w:cs="Times New Roman"/>
                    <w:sz w:val="24"/>
                    <w:szCs w:val="24"/>
                  </w:rPr>
                  <w:t>Department of Theatre and Drama, University of Michigan</w:t>
                </w:r>
              </w:p>
              <w:p w:rsidR="00D7491B" w:rsidRPr="00D7491B" w:rsidRDefault="00D7491B" w:rsidP="00D7491B">
                <w:pPr>
                  <w:rPr>
                    <w:rFonts w:ascii="Times New Roman" w:hAnsi="Times New Roman" w:cs="Times New Roman"/>
                    <w:sz w:val="24"/>
                    <w:szCs w:val="24"/>
                  </w:rPr>
                </w:pPr>
              </w:p>
              <w:p w:rsidR="00D7491B" w:rsidRPr="00D7491B" w:rsidRDefault="00D7491B" w:rsidP="00D7491B">
                <w:pPr>
                  <w:rPr>
                    <w:rFonts w:ascii="Times New Roman" w:hAnsi="Times New Roman" w:cs="Times New Roman"/>
                    <w:sz w:val="24"/>
                    <w:szCs w:val="24"/>
                  </w:rPr>
                </w:pPr>
              </w:p>
              <w:p w:rsidR="00D7491B" w:rsidRPr="00D7491B" w:rsidRDefault="00D7491B" w:rsidP="00D7491B">
                <w:pPr>
                  <w:rPr>
                    <w:rFonts w:ascii="Times New Roman" w:hAnsi="Times New Roman" w:cs="Times New Roman"/>
                    <w:sz w:val="24"/>
                    <w:szCs w:val="24"/>
                  </w:rPr>
                </w:pPr>
                <w:r w:rsidRPr="00D7491B">
                  <w:rPr>
                    <w:rFonts w:ascii="Times New Roman" w:hAnsi="Times New Roman" w:cs="Times New Roman"/>
                    <w:sz w:val="24"/>
                    <w:szCs w:val="24"/>
                  </w:rPr>
                  <w:t xml:space="preserve">While each playwright’s treatment of lynching is different, reflecting the time period as well as the artist’s individual perspective and style, the focus on a lynching incident and its impact form the hallmark of the genre. In the first full-length critical study of lynching drama, </w:t>
                </w:r>
                <w:r w:rsidRPr="00D7491B">
                  <w:rPr>
                    <w:rFonts w:ascii="Times New Roman" w:hAnsi="Times New Roman" w:cs="Times New Roman"/>
                    <w:i/>
                    <w:sz w:val="24"/>
                    <w:szCs w:val="24"/>
                  </w:rPr>
                  <w:t>Living With Lynching: African American Lynching Plays, Performance, and Citizenship, 1890-1930</w:t>
                </w:r>
                <w:r w:rsidRPr="00D7491B">
                  <w:rPr>
                    <w:rFonts w:ascii="Times New Roman" w:hAnsi="Times New Roman" w:cs="Times New Roman"/>
                    <w:sz w:val="24"/>
                    <w:szCs w:val="24"/>
                  </w:rPr>
                  <w:t xml:space="preserve">, </w:t>
                </w:r>
                <w:proofErr w:type="spellStart"/>
                <w:r w:rsidRPr="00D7491B">
                  <w:rPr>
                    <w:rFonts w:ascii="Times New Roman" w:hAnsi="Times New Roman" w:cs="Times New Roman"/>
                    <w:sz w:val="24"/>
                    <w:szCs w:val="24"/>
                  </w:rPr>
                  <w:t>Koritha</w:t>
                </w:r>
                <w:proofErr w:type="spellEnd"/>
                <w:r w:rsidRPr="00D7491B">
                  <w:rPr>
                    <w:rFonts w:ascii="Times New Roman" w:hAnsi="Times New Roman" w:cs="Times New Roman"/>
                    <w:sz w:val="24"/>
                    <w:szCs w:val="24"/>
                  </w:rPr>
                  <w:t xml:space="preserve"> Mitchell contends that ‘lynching plays served as mechanisms through which African Americans survived the height of mob violence—and its photographic representation—still believing in their right to full citizenship’ (2). Mitchell’s in-depth analysis reveals how ‘[</w:t>
                </w:r>
                <w:proofErr w:type="gramStart"/>
                <w:r w:rsidRPr="00D7491B">
                  <w:rPr>
                    <w:rFonts w:ascii="Times New Roman" w:hAnsi="Times New Roman" w:cs="Times New Roman"/>
                    <w:sz w:val="24"/>
                    <w:szCs w:val="24"/>
                  </w:rPr>
                  <w:t>t]his</w:t>
                </w:r>
                <w:proofErr w:type="gramEnd"/>
                <w:r w:rsidRPr="00D7491B">
                  <w:rPr>
                    <w:rFonts w:ascii="Times New Roman" w:hAnsi="Times New Roman" w:cs="Times New Roman"/>
                    <w:sz w:val="24"/>
                    <w:szCs w:val="24"/>
                  </w:rPr>
                  <w:t xml:space="preserve"> unique genre challenges us to re-evaluate our assumptions about what creates theatrical power and what counts as proof of the impact that a production had on those who experienced it’ (195). Lynching dramas continue to be written and performed in the United States, a recent example being </w:t>
                </w:r>
                <w:r w:rsidRPr="00D7491B">
                  <w:rPr>
                    <w:rFonts w:ascii="Times New Roman" w:hAnsi="Times New Roman" w:cs="Times New Roman"/>
                    <w:i/>
                    <w:sz w:val="24"/>
                    <w:szCs w:val="24"/>
                  </w:rPr>
                  <w:t>By Hands Unknown</w:t>
                </w:r>
                <w:r w:rsidRPr="00D7491B">
                  <w:rPr>
                    <w:rFonts w:ascii="Times New Roman" w:hAnsi="Times New Roman" w:cs="Times New Roman"/>
                    <w:sz w:val="24"/>
                    <w:szCs w:val="24"/>
                  </w:rPr>
                  <w:t>, created by Kim Gomes and produced at The New School for Drama during the New York City International Fringe Festival in August 2010.</w:t>
                </w:r>
              </w:p>
              <w:p w:rsidR="003F0D73" w:rsidRPr="00D7491B" w:rsidRDefault="003F0D73" w:rsidP="00C27FAB">
                <w:pPr>
                  <w:rPr>
                    <w:sz w:val="24"/>
                    <w:szCs w:val="24"/>
                  </w:rPr>
                </w:pPr>
              </w:p>
            </w:tc>
          </w:sdtContent>
        </w:sdt>
      </w:tr>
      <w:tr w:rsidR="003235A7" w:rsidRPr="00D7491B" w:rsidTr="003235A7">
        <w:tc>
          <w:tcPr>
            <w:tcW w:w="9016" w:type="dxa"/>
          </w:tcPr>
          <w:p w:rsidR="003235A7" w:rsidRPr="00D7491B" w:rsidRDefault="003235A7" w:rsidP="008A5B87">
            <w:pPr>
              <w:rPr>
                <w:sz w:val="24"/>
                <w:szCs w:val="24"/>
              </w:rPr>
            </w:pPr>
            <w:r w:rsidRPr="00D7491B">
              <w:rPr>
                <w:sz w:val="24"/>
                <w:szCs w:val="24"/>
                <w:u w:val="single"/>
              </w:rPr>
              <w:lastRenderedPageBreak/>
              <w:t>Further reading</w:t>
            </w:r>
            <w:r w:rsidRPr="00D7491B">
              <w:rPr>
                <w:sz w:val="24"/>
                <w:szCs w:val="24"/>
              </w:rPr>
              <w:t>:</w:t>
            </w:r>
          </w:p>
          <w:sdt>
            <w:sdtPr>
              <w:rPr>
                <w:sz w:val="24"/>
                <w:szCs w:val="24"/>
              </w:rPr>
              <w:alias w:val="Further reading"/>
              <w:tag w:val="furtherReading"/>
              <w:id w:val="-1516217107"/>
              <w:placeholder>
                <w:docPart w:val="41FBF2CE4568154F9537BC6A9BE376C1"/>
              </w:placeholder>
            </w:sdtPr>
            <w:sdtEndPr/>
            <w:sdtContent>
              <w:p w:rsidR="00D7491B" w:rsidRPr="00D7491B" w:rsidRDefault="00D7491B" w:rsidP="00D7491B">
                <w:pPr>
                  <w:ind w:left="567" w:hanging="567"/>
                  <w:rPr>
                    <w:rFonts w:ascii="Times New Roman" w:hAnsi="Times New Roman" w:cs="Times New Roman"/>
                    <w:sz w:val="24"/>
                    <w:szCs w:val="24"/>
                  </w:rPr>
                </w:pPr>
                <w:sdt>
                  <w:sdtPr>
                    <w:rPr>
                      <w:sz w:val="24"/>
                      <w:szCs w:val="24"/>
                    </w:rPr>
                    <w:id w:val="596604125"/>
                    <w:citation/>
                  </w:sdtPr>
                  <w:sdtContent>
                    <w:r>
                      <w:rPr>
                        <w:sz w:val="24"/>
                        <w:szCs w:val="24"/>
                      </w:rPr>
                      <w:fldChar w:fldCharType="begin"/>
                    </w:r>
                    <w:r>
                      <w:rPr>
                        <w:rFonts w:ascii="Times New Roman" w:hAnsi="Times New Roman" w:cs="Times New Roman"/>
                        <w:sz w:val="24"/>
                        <w:szCs w:val="24"/>
                        <w:lang w:val="en-US"/>
                      </w:rPr>
                      <w:instrText xml:space="preserve"> CITATION Per982 \l 1033 </w:instrText>
                    </w:r>
                    <w:r>
                      <w:rPr>
                        <w:sz w:val="24"/>
                        <w:szCs w:val="24"/>
                      </w:rPr>
                      <w:fldChar w:fldCharType="separate"/>
                    </w:r>
                    <w:r>
                      <w:rPr>
                        <w:rFonts w:ascii="Times New Roman" w:hAnsi="Times New Roman" w:cs="Times New Roman"/>
                        <w:noProof/>
                        <w:sz w:val="24"/>
                        <w:szCs w:val="24"/>
                        <w:lang w:val="en-US"/>
                      </w:rPr>
                      <w:t xml:space="preserve"> </w:t>
                    </w:r>
                    <w:r w:rsidRPr="00D7491B">
                      <w:rPr>
                        <w:rFonts w:ascii="Times New Roman" w:hAnsi="Times New Roman" w:cs="Times New Roman"/>
                        <w:noProof/>
                        <w:sz w:val="24"/>
                        <w:szCs w:val="24"/>
                        <w:lang w:val="en-US"/>
                      </w:rPr>
                      <w:t>(Perkins)</w:t>
                    </w:r>
                    <w:r>
                      <w:rPr>
                        <w:sz w:val="24"/>
                        <w:szCs w:val="24"/>
                      </w:rPr>
                      <w:fldChar w:fldCharType="end"/>
                    </w:r>
                  </w:sdtContent>
                </w:sdt>
              </w:p>
              <w:p w:rsidR="00D7491B" w:rsidRPr="00D7491B" w:rsidRDefault="00D7491B" w:rsidP="00D7491B">
                <w:pPr>
                  <w:ind w:left="567" w:hanging="567"/>
                  <w:rPr>
                    <w:rFonts w:ascii="Times New Roman" w:hAnsi="Times New Roman" w:cs="Times New Roman"/>
                    <w:sz w:val="24"/>
                    <w:szCs w:val="24"/>
                  </w:rPr>
                </w:pPr>
                <w:sdt>
                  <w:sdtPr>
                    <w:rPr>
                      <w:rFonts w:ascii="Times New Roman" w:hAnsi="Times New Roman" w:cs="Times New Roman"/>
                      <w:sz w:val="24"/>
                      <w:szCs w:val="24"/>
                    </w:rPr>
                    <w:id w:val="179270321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Mit111 \l 1033 </w:instrText>
                    </w:r>
                    <w:r>
                      <w:rPr>
                        <w:rFonts w:ascii="Times New Roman" w:hAnsi="Times New Roman" w:cs="Times New Roman"/>
                        <w:sz w:val="24"/>
                        <w:szCs w:val="24"/>
                      </w:rPr>
                      <w:fldChar w:fldCharType="separate"/>
                    </w:r>
                    <w:r w:rsidRPr="00D7491B">
                      <w:rPr>
                        <w:rFonts w:ascii="Times New Roman" w:hAnsi="Times New Roman" w:cs="Times New Roman"/>
                        <w:noProof/>
                        <w:sz w:val="24"/>
                        <w:szCs w:val="24"/>
                        <w:lang w:val="en-US"/>
                      </w:rPr>
                      <w:t>(Mitchell)</w:t>
                    </w:r>
                    <w:r>
                      <w:rPr>
                        <w:rFonts w:ascii="Times New Roman" w:hAnsi="Times New Roman" w:cs="Times New Roman"/>
                        <w:sz w:val="24"/>
                        <w:szCs w:val="24"/>
                      </w:rPr>
                      <w:fldChar w:fldCharType="end"/>
                    </w:r>
                  </w:sdtContent>
                </w:sdt>
              </w:p>
              <w:p w:rsidR="003235A7" w:rsidRPr="00D7491B" w:rsidRDefault="00D7491B" w:rsidP="00FB11DE">
                <w:pPr>
                  <w:rPr>
                    <w:sz w:val="24"/>
                    <w:szCs w:val="24"/>
                  </w:rPr>
                </w:pPr>
              </w:p>
            </w:sdtContent>
          </w:sdt>
        </w:tc>
      </w:tr>
    </w:tbl>
    <w:p w:rsidR="00C27FAB" w:rsidRPr="00D7491B" w:rsidRDefault="00C27FAB" w:rsidP="00B33145">
      <w:pPr>
        <w:rPr>
          <w:sz w:val="24"/>
          <w:szCs w:val="24"/>
        </w:rPr>
      </w:pPr>
    </w:p>
    <w:sectPr w:rsidR="00C27FAB" w:rsidRPr="00D7491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91B" w:rsidRDefault="00D7491B" w:rsidP="007A0D55">
      <w:pPr>
        <w:spacing w:after="0" w:line="240" w:lineRule="auto"/>
      </w:pPr>
      <w:r>
        <w:separator/>
      </w:r>
    </w:p>
  </w:endnote>
  <w:endnote w:type="continuationSeparator" w:id="0">
    <w:p w:rsidR="00D7491B" w:rsidRDefault="00D749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91B" w:rsidRDefault="00D7491B" w:rsidP="007A0D55">
      <w:pPr>
        <w:spacing w:after="0" w:line="240" w:lineRule="auto"/>
      </w:pPr>
      <w:r>
        <w:separator/>
      </w:r>
    </w:p>
  </w:footnote>
  <w:footnote w:type="continuationSeparator" w:id="0">
    <w:p w:rsidR="00D7491B" w:rsidRDefault="00D749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91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491B"/>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49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91B"/>
    <w:rPr>
      <w:rFonts w:ascii="Lucida Grande" w:hAnsi="Lucida Grande" w:cs="Lucida Grande"/>
      <w:sz w:val="18"/>
      <w:szCs w:val="18"/>
    </w:rPr>
  </w:style>
  <w:style w:type="paragraph" w:styleId="Caption">
    <w:name w:val="caption"/>
    <w:basedOn w:val="Normal"/>
    <w:next w:val="Normal"/>
    <w:uiPriority w:val="35"/>
    <w:semiHidden/>
    <w:qFormat/>
    <w:rsid w:val="00D7491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49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91B"/>
    <w:rPr>
      <w:rFonts w:ascii="Lucida Grande" w:hAnsi="Lucida Grande" w:cs="Lucida Grande"/>
      <w:sz w:val="18"/>
      <w:szCs w:val="18"/>
    </w:rPr>
  </w:style>
  <w:style w:type="paragraph" w:styleId="Caption">
    <w:name w:val="caption"/>
    <w:basedOn w:val="Normal"/>
    <w:next w:val="Normal"/>
    <w:uiPriority w:val="35"/>
    <w:semiHidden/>
    <w:qFormat/>
    <w:rsid w:val="00D7491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BC8AB2FDEFC54BB7AEDCD9A1A3231C"/>
        <w:category>
          <w:name w:val="General"/>
          <w:gallery w:val="placeholder"/>
        </w:category>
        <w:types>
          <w:type w:val="bbPlcHdr"/>
        </w:types>
        <w:behaviors>
          <w:behavior w:val="content"/>
        </w:behaviors>
        <w:guid w:val="{E402D5C0-62C2-1149-8A4F-EFCFF08D304D}"/>
      </w:docPartPr>
      <w:docPartBody>
        <w:p w:rsidR="00000000" w:rsidRDefault="004E117A">
          <w:pPr>
            <w:pStyle w:val="E6BC8AB2FDEFC54BB7AEDCD9A1A3231C"/>
          </w:pPr>
          <w:r w:rsidRPr="00CC586D">
            <w:rPr>
              <w:rStyle w:val="PlaceholderText"/>
              <w:b/>
              <w:color w:val="FFFFFF" w:themeColor="background1"/>
            </w:rPr>
            <w:t>[Salutation]</w:t>
          </w:r>
        </w:p>
      </w:docPartBody>
    </w:docPart>
    <w:docPart>
      <w:docPartPr>
        <w:name w:val="42C1719E2629EA47AB99574195F9F044"/>
        <w:category>
          <w:name w:val="General"/>
          <w:gallery w:val="placeholder"/>
        </w:category>
        <w:types>
          <w:type w:val="bbPlcHdr"/>
        </w:types>
        <w:behaviors>
          <w:behavior w:val="content"/>
        </w:behaviors>
        <w:guid w:val="{48F73D4B-13CB-4943-A8B3-1D28B2AEDD53}"/>
      </w:docPartPr>
      <w:docPartBody>
        <w:p w:rsidR="00000000" w:rsidRDefault="004E117A">
          <w:pPr>
            <w:pStyle w:val="42C1719E2629EA47AB99574195F9F044"/>
          </w:pPr>
          <w:r>
            <w:rPr>
              <w:rStyle w:val="PlaceholderText"/>
            </w:rPr>
            <w:t>[First name]</w:t>
          </w:r>
        </w:p>
      </w:docPartBody>
    </w:docPart>
    <w:docPart>
      <w:docPartPr>
        <w:name w:val="6A11D87F03A48742A7DE35A0B772867C"/>
        <w:category>
          <w:name w:val="General"/>
          <w:gallery w:val="placeholder"/>
        </w:category>
        <w:types>
          <w:type w:val="bbPlcHdr"/>
        </w:types>
        <w:behaviors>
          <w:behavior w:val="content"/>
        </w:behaviors>
        <w:guid w:val="{306B48CA-D2D8-D648-9B8A-3413E635D098}"/>
      </w:docPartPr>
      <w:docPartBody>
        <w:p w:rsidR="00000000" w:rsidRDefault="004E117A">
          <w:pPr>
            <w:pStyle w:val="6A11D87F03A48742A7DE35A0B772867C"/>
          </w:pPr>
          <w:r>
            <w:rPr>
              <w:rStyle w:val="PlaceholderText"/>
            </w:rPr>
            <w:t>[Middle name]</w:t>
          </w:r>
        </w:p>
      </w:docPartBody>
    </w:docPart>
    <w:docPart>
      <w:docPartPr>
        <w:name w:val="543DCE792C9ED34291250FA382BAF433"/>
        <w:category>
          <w:name w:val="General"/>
          <w:gallery w:val="placeholder"/>
        </w:category>
        <w:types>
          <w:type w:val="bbPlcHdr"/>
        </w:types>
        <w:behaviors>
          <w:behavior w:val="content"/>
        </w:behaviors>
        <w:guid w:val="{E6087841-D431-7E4C-92E4-CDE3A133B587}"/>
      </w:docPartPr>
      <w:docPartBody>
        <w:p w:rsidR="00000000" w:rsidRDefault="004E117A">
          <w:pPr>
            <w:pStyle w:val="543DCE792C9ED34291250FA382BAF433"/>
          </w:pPr>
          <w:r>
            <w:rPr>
              <w:rStyle w:val="PlaceholderText"/>
            </w:rPr>
            <w:t>[Last name]</w:t>
          </w:r>
        </w:p>
      </w:docPartBody>
    </w:docPart>
    <w:docPart>
      <w:docPartPr>
        <w:name w:val="C90CFB8C5CB713408A282ECF512161E7"/>
        <w:category>
          <w:name w:val="General"/>
          <w:gallery w:val="placeholder"/>
        </w:category>
        <w:types>
          <w:type w:val="bbPlcHdr"/>
        </w:types>
        <w:behaviors>
          <w:behavior w:val="content"/>
        </w:behaviors>
        <w:guid w:val="{C6CD27E5-D360-4E4C-A6B6-79E3F4082759}"/>
      </w:docPartPr>
      <w:docPartBody>
        <w:p w:rsidR="00000000" w:rsidRDefault="004E117A">
          <w:pPr>
            <w:pStyle w:val="C90CFB8C5CB713408A282ECF512161E7"/>
          </w:pPr>
          <w:r>
            <w:rPr>
              <w:rStyle w:val="PlaceholderText"/>
            </w:rPr>
            <w:t>[Enter your biography]</w:t>
          </w:r>
        </w:p>
      </w:docPartBody>
    </w:docPart>
    <w:docPart>
      <w:docPartPr>
        <w:name w:val="3D1D4D753BC73C4EA636716E2A78D084"/>
        <w:category>
          <w:name w:val="General"/>
          <w:gallery w:val="placeholder"/>
        </w:category>
        <w:types>
          <w:type w:val="bbPlcHdr"/>
        </w:types>
        <w:behaviors>
          <w:behavior w:val="content"/>
        </w:behaviors>
        <w:guid w:val="{20E806B7-4F9C-644E-A08A-6D4FB5B1E303}"/>
      </w:docPartPr>
      <w:docPartBody>
        <w:p w:rsidR="00000000" w:rsidRDefault="004E117A">
          <w:pPr>
            <w:pStyle w:val="3D1D4D753BC73C4EA636716E2A78D084"/>
          </w:pPr>
          <w:r>
            <w:rPr>
              <w:rStyle w:val="PlaceholderText"/>
            </w:rPr>
            <w:t>[Enter the institution with which you are affiliated]</w:t>
          </w:r>
        </w:p>
      </w:docPartBody>
    </w:docPart>
    <w:docPart>
      <w:docPartPr>
        <w:name w:val="520C8A676256EA4386E5B68299A59E78"/>
        <w:category>
          <w:name w:val="General"/>
          <w:gallery w:val="placeholder"/>
        </w:category>
        <w:types>
          <w:type w:val="bbPlcHdr"/>
        </w:types>
        <w:behaviors>
          <w:behavior w:val="content"/>
        </w:behaviors>
        <w:guid w:val="{08AE7187-CF43-714E-9747-BB6415CE8870}"/>
      </w:docPartPr>
      <w:docPartBody>
        <w:p w:rsidR="00000000" w:rsidRDefault="004E117A">
          <w:pPr>
            <w:pStyle w:val="520C8A676256EA4386E5B68299A59E78"/>
          </w:pPr>
          <w:r w:rsidRPr="00EF74F7">
            <w:rPr>
              <w:b/>
              <w:color w:val="808080" w:themeColor="background1" w:themeShade="80"/>
            </w:rPr>
            <w:t>[Enter the headword for your article]</w:t>
          </w:r>
        </w:p>
      </w:docPartBody>
    </w:docPart>
    <w:docPart>
      <w:docPartPr>
        <w:name w:val="05C338B40D181F418654EA7CACF10EBF"/>
        <w:category>
          <w:name w:val="General"/>
          <w:gallery w:val="placeholder"/>
        </w:category>
        <w:types>
          <w:type w:val="bbPlcHdr"/>
        </w:types>
        <w:behaviors>
          <w:behavior w:val="content"/>
        </w:behaviors>
        <w:guid w:val="{6A9B37E8-3171-AB4C-8968-C25E77998847}"/>
      </w:docPartPr>
      <w:docPartBody>
        <w:p w:rsidR="00000000" w:rsidRDefault="004E117A">
          <w:pPr>
            <w:pStyle w:val="05C338B40D181F418654EA7CACF10E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6E0DA357749734A9055F962B0CABDE1"/>
        <w:category>
          <w:name w:val="General"/>
          <w:gallery w:val="placeholder"/>
        </w:category>
        <w:types>
          <w:type w:val="bbPlcHdr"/>
        </w:types>
        <w:behaviors>
          <w:behavior w:val="content"/>
        </w:behaviors>
        <w:guid w:val="{A0181198-2D1B-C94B-8AB7-80A217A7015E}"/>
      </w:docPartPr>
      <w:docPartBody>
        <w:p w:rsidR="00000000" w:rsidRDefault="004E117A">
          <w:pPr>
            <w:pStyle w:val="06E0DA357749734A9055F962B0CABD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77432AAD477A4E9203282D4BE47859"/>
        <w:category>
          <w:name w:val="General"/>
          <w:gallery w:val="placeholder"/>
        </w:category>
        <w:types>
          <w:type w:val="bbPlcHdr"/>
        </w:types>
        <w:behaviors>
          <w:behavior w:val="content"/>
        </w:behaviors>
        <w:guid w:val="{9ADDB20F-5CAD-2842-84C8-ADD57A64C657}"/>
      </w:docPartPr>
      <w:docPartBody>
        <w:p w:rsidR="00000000" w:rsidRDefault="004E117A">
          <w:pPr>
            <w:pStyle w:val="2E77432AAD477A4E9203282D4BE4785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FBF2CE4568154F9537BC6A9BE376C1"/>
        <w:category>
          <w:name w:val="General"/>
          <w:gallery w:val="placeholder"/>
        </w:category>
        <w:types>
          <w:type w:val="bbPlcHdr"/>
        </w:types>
        <w:behaviors>
          <w:behavior w:val="content"/>
        </w:behaviors>
        <w:guid w:val="{7A677B06-5FD5-7A4D-8896-EA1642468CA9}"/>
      </w:docPartPr>
      <w:docPartBody>
        <w:p w:rsidR="00000000" w:rsidRDefault="004E117A">
          <w:pPr>
            <w:pStyle w:val="41FBF2CE4568154F9537BC6A9BE376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BC8AB2FDEFC54BB7AEDCD9A1A3231C">
    <w:name w:val="E6BC8AB2FDEFC54BB7AEDCD9A1A3231C"/>
  </w:style>
  <w:style w:type="paragraph" w:customStyle="1" w:styleId="42C1719E2629EA47AB99574195F9F044">
    <w:name w:val="42C1719E2629EA47AB99574195F9F044"/>
  </w:style>
  <w:style w:type="paragraph" w:customStyle="1" w:styleId="6A11D87F03A48742A7DE35A0B772867C">
    <w:name w:val="6A11D87F03A48742A7DE35A0B772867C"/>
  </w:style>
  <w:style w:type="paragraph" w:customStyle="1" w:styleId="543DCE792C9ED34291250FA382BAF433">
    <w:name w:val="543DCE792C9ED34291250FA382BAF433"/>
  </w:style>
  <w:style w:type="paragraph" w:customStyle="1" w:styleId="C90CFB8C5CB713408A282ECF512161E7">
    <w:name w:val="C90CFB8C5CB713408A282ECF512161E7"/>
  </w:style>
  <w:style w:type="paragraph" w:customStyle="1" w:styleId="3D1D4D753BC73C4EA636716E2A78D084">
    <w:name w:val="3D1D4D753BC73C4EA636716E2A78D084"/>
  </w:style>
  <w:style w:type="paragraph" w:customStyle="1" w:styleId="520C8A676256EA4386E5B68299A59E78">
    <w:name w:val="520C8A676256EA4386E5B68299A59E78"/>
  </w:style>
  <w:style w:type="paragraph" w:customStyle="1" w:styleId="05C338B40D181F418654EA7CACF10EBF">
    <w:name w:val="05C338B40D181F418654EA7CACF10EBF"/>
  </w:style>
  <w:style w:type="paragraph" w:customStyle="1" w:styleId="06E0DA357749734A9055F962B0CABDE1">
    <w:name w:val="06E0DA357749734A9055F962B0CABDE1"/>
  </w:style>
  <w:style w:type="paragraph" w:customStyle="1" w:styleId="2E77432AAD477A4E9203282D4BE47859">
    <w:name w:val="2E77432AAD477A4E9203282D4BE47859"/>
  </w:style>
  <w:style w:type="paragraph" w:customStyle="1" w:styleId="41FBF2CE4568154F9537BC6A9BE376C1">
    <w:name w:val="41FBF2CE4568154F9537BC6A9BE376C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BC8AB2FDEFC54BB7AEDCD9A1A3231C">
    <w:name w:val="E6BC8AB2FDEFC54BB7AEDCD9A1A3231C"/>
  </w:style>
  <w:style w:type="paragraph" w:customStyle="1" w:styleId="42C1719E2629EA47AB99574195F9F044">
    <w:name w:val="42C1719E2629EA47AB99574195F9F044"/>
  </w:style>
  <w:style w:type="paragraph" w:customStyle="1" w:styleId="6A11D87F03A48742A7DE35A0B772867C">
    <w:name w:val="6A11D87F03A48742A7DE35A0B772867C"/>
  </w:style>
  <w:style w:type="paragraph" w:customStyle="1" w:styleId="543DCE792C9ED34291250FA382BAF433">
    <w:name w:val="543DCE792C9ED34291250FA382BAF433"/>
  </w:style>
  <w:style w:type="paragraph" w:customStyle="1" w:styleId="C90CFB8C5CB713408A282ECF512161E7">
    <w:name w:val="C90CFB8C5CB713408A282ECF512161E7"/>
  </w:style>
  <w:style w:type="paragraph" w:customStyle="1" w:styleId="3D1D4D753BC73C4EA636716E2A78D084">
    <w:name w:val="3D1D4D753BC73C4EA636716E2A78D084"/>
  </w:style>
  <w:style w:type="paragraph" w:customStyle="1" w:styleId="520C8A676256EA4386E5B68299A59E78">
    <w:name w:val="520C8A676256EA4386E5B68299A59E78"/>
  </w:style>
  <w:style w:type="paragraph" w:customStyle="1" w:styleId="05C338B40D181F418654EA7CACF10EBF">
    <w:name w:val="05C338B40D181F418654EA7CACF10EBF"/>
  </w:style>
  <w:style w:type="paragraph" w:customStyle="1" w:styleId="06E0DA357749734A9055F962B0CABDE1">
    <w:name w:val="06E0DA357749734A9055F962B0CABDE1"/>
  </w:style>
  <w:style w:type="paragraph" w:customStyle="1" w:styleId="2E77432AAD477A4E9203282D4BE47859">
    <w:name w:val="2E77432AAD477A4E9203282D4BE47859"/>
  </w:style>
  <w:style w:type="paragraph" w:customStyle="1" w:styleId="41FBF2CE4568154F9537BC6A9BE376C1">
    <w:name w:val="41FBF2CE4568154F9537BC6A9BE37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Per982</b:Tag>
    <b:SourceType>Book</b:SourceType>
    <b:Guid>{2810D66C-A9F2-9444-BFD1-5D5CCDA891BA}</b:Guid>
    <b:Author>
      <b:Author>
        <b:NameList>
          <b:Person>
            <b:Last>Perkins</b:Last>
            <b:First>Kathy,</b:First>
            <b:Middle>and Judith Stephens</b:Middle>
          </b:Person>
        </b:NameList>
      </b:Author>
    </b:Author>
    <b:Title>Strange Fruit: Plays on Lynching by American Women</b:Title>
    <b:City>Champaign</b:City>
    <b:Publisher>University of Illinois Press</b:Publisher>
    <b:Year>1998</b:Year>
    <b:RefOrder>1</b:RefOrder>
  </b:Source>
  <b:Source>
    <b:Tag>Mit111</b:Tag>
    <b:SourceType>Book</b:SourceType>
    <b:Guid>{1D844034-FDE7-9C44-882B-5A58D8DC2DE4}</b:Guid>
    <b:Author>
      <b:Author>
        <b:NameList>
          <b:Person>
            <b:Last>Mitchell</b:Last>
            <b:First>Koritha</b:First>
          </b:Person>
        </b:NameList>
      </b:Author>
    </b:Author>
    <b:Title>Living With Lynching: African American Lynching Plays, Performance, and Citizenship, 1890-1930</b:Title>
    <b:City>Champaign</b:City>
    <b:Publisher>University of Illinois Press</b:Publisher>
    <b:Year>2011</b:Year>
    <b:RefOrder>2</b:RefOrder>
  </b:Source>
</b:Sources>
</file>

<file path=customXml/itemProps1.xml><?xml version="1.0" encoding="utf-8"?>
<ds:datastoreItem xmlns:ds="http://schemas.openxmlformats.org/officeDocument/2006/customXml" ds:itemID="{4EC9C4EA-ED6B-9045-BCF2-CABBE71C4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803</Words>
  <Characters>4582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2015-10-24T19:54:00Z</dcterms:created>
  <dcterms:modified xsi:type="dcterms:W3CDTF">2015-10-24T20:03:00Z</dcterms:modified>
</cp:coreProperties>
</file>